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280" w:right="2400" w:hanging="4272"/>
        <w:spacing w:after="0" w:line="290" w:lineRule="auto"/>
        <w:tabs>
          <w:tab w:leader="none" w:pos="45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April 4, 2014</w:t>
      </w:r>
    </w:p>
    <w:p>
      <w:pPr>
        <w:ind w:left="56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1040" w:type="dxa"/>
            <w:vAlign w:val="bottom"/>
          </w:tcPr>
          <w:p>
            <w:pPr>
              <w:spacing w:after="0"/>
              <w:rPr>
                <w:sz w:val="18"/>
                <w:szCs w:val="18"/>
                <w:color w:val="auto"/>
              </w:rPr>
            </w:pPr>
          </w:p>
        </w:tc>
        <w:tc>
          <w:tcPr>
            <w:tcW w:w="236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gridSpan w:val="2"/>
          </w:tcPr>
          <w:p>
            <w:pPr>
              <w:jc w:val="center"/>
              <w:ind w:left="2572"/>
              <w:spacing w:after="0"/>
              <w:rPr>
                <w:sz w:val="20"/>
                <w:szCs w:val="20"/>
                <w:color w:val="auto"/>
              </w:rPr>
            </w:pPr>
            <w:r>
              <w:rPr>
                <w:rFonts w:ascii="Arial" w:cs="Arial" w:eastAsia="Arial" w:hAnsi="Arial"/>
                <w:sz w:val="18"/>
                <w:szCs w:val="18"/>
                <w:b w:val="1"/>
                <w:bCs w:val="1"/>
                <w:color w:val="auto"/>
                <w:w w:val="87"/>
              </w:rPr>
              <w:t>33-0174996</w:t>
            </w:r>
          </w:p>
        </w:tc>
      </w:tr>
      <w:tr>
        <w:trPr>
          <w:trHeight w:val="149"/>
        </w:trPr>
        <w:tc>
          <w:tcPr>
            <w:tcW w:w="3400" w:type="dxa"/>
            <w:vAlign w:val="bottom"/>
            <w:gridSpan w:val="3"/>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64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400" w:type="dxa"/>
            <w:vAlign w:val="bottom"/>
            <w:gridSpan w:val="3"/>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26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43"/>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00" w:type="dxa"/>
            <w:vAlign w:val="bottom"/>
            <w:gridSpan w:val="2"/>
          </w:tcPr>
          <w:p>
            <w:pPr>
              <w:jc w:val="center"/>
              <w:ind w:right="3207"/>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jc w:val="center"/>
              <w:ind w:right="3187"/>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4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(760) 476-2200</w:t>
            </w:r>
          </w:p>
        </w:tc>
        <w:tc>
          <w:tcPr>
            <w:tcW w:w="2860" w:type="dxa"/>
            <w:vAlign w:val="bottom"/>
          </w:tcPr>
          <w:p>
            <w:pPr>
              <w:spacing w:after="0"/>
              <w:rPr>
                <w:sz w:val="18"/>
                <w:szCs w:val="18"/>
                <w:color w:val="auto"/>
              </w:rPr>
            </w:pPr>
          </w:p>
        </w:tc>
      </w:tr>
      <w:tr>
        <w:trPr>
          <w:trHeight w:val="174"/>
        </w:trPr>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0" w:type="dxa"/>
            <w:vAlign w:val="bottom"/>
            <w:gridSpan w:val="3"/>
          </w:tcPr>
          <w:p>
            <w:pPr>
              <w:jc w:val="center"/>
              <w:ind w:right="2087"/>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r>
        <w:trPr>
          <w:trHeight w:val="242"/>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600" w:type="dxa"/>
            <w:vAlign w:val="bottom"/>
            <w:gridSpan w:val="3"/>
          </w:tcPr>
          <w:p>
            <w:pPr>
              <w:jc w:val="center"/>
              <w:ind w:right="210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05"/>
        </w:trPr>
        <w:tc>
          <w:tcPr>
            <w:tcW w:w="10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22"/>
        </w:trPr>
        <w:tc>
          <w:tcPr>
            <w:tcW w:w="3400" w:type="dxa"/>
            <w:vAlign w:val="bottom"/>
            <w:gridSpan w:val="3"/>
          </w:tcPr>
          <w:p>
            <w:pPr>
              <w:jc w:val="center"/>
              <w:ind w:right="2"/>
              <w:spacing w:after="0"/>
              <w:rPr>
                <w:sz w:val="20"/>
                <w:szCs w:val="20"/>
                <w:color w:val="auto"/>
              </w:rPr>
            </w:pPr>
            <w:r>
              <w:rPr>
                <w:rFonts w:ascii="Arial" w:cs="Arial" w:eastAsia="Arial" w:hAnsi="Arial"/>
                <w:sz w:val="18"/>
                <w:szCs w:val="18"/>
                <w:b w:val="1"/>
                <w:bCs w:val="1"/>
                <w:color w:val="auto"/>
                <w:w w:val="88"/>
              </w:rPr>
              <w:t>Common Stock, par value $0.0001 per share</w:t>
            </w:r>
          </w:p>
        </w:tc>
        <w:tc>
          <w:tcPr>
            <w:tcW w:w="26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934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82" w:lineRule="exact"/>
        <w:rPr>
          <w:sz w:val="24"/>
          <w:szCs w:val="24"/>
          <w:color w:val="auto"/>
        </w:rPr>
      </w:pPr>
    </w:p>
    <w:p>
      <w:pPr>
        <w:ind w:right="162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ind w:right="220" w:firstLine="342"/>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w:t>
      </w:r>
    </w:p>
    <w:p>
      <w:pPr>
        <w:spacing w:after="0" w:line="207" w:lineRule="exact"/>
        <w:tabs>
          <w:tab w:leader="none" w:pos="740" w:val="left"/>
        </w:tabs>
        <w:rPr>
          <w:sz w:val="20"/>
          <w:szCs w:val="20"/>
          <w:color w:val="auto"/>
        </w:rPr>
      </w:pPr>
      <w:r>
        <w:rPr>
          <w:rFonts w:ascii="Arial" w:cs="Arial" w:eastAsia="Arial" w:hAnsi="Arial"/>
          <w:sz w:val="18"/>
          <w:szCs w:val="18"/>
          <w:color w:val="auto"/>
        </w:rPr>
        <w:t>90 days.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43"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540"/>
            <w:col w:w="160" w:space="40"/>
            <w:col w:w="5800" w:space="720"/>
            <w:col w:w="1920" w:space="580"/>
            <w:col w:w="160"/>
          </w:cols>
          <w:pgMar w:left="240" w:top="230" w:right="23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73" w:lineRule="exact"/>
        <w:rPr>
          <w:sz w:val="24"/>
          <w:szCs w:val="24"/>
          <w:color w:val="auto"/>
        </w:rPr>
      </w:pPr>
    </w:p>
    <w:p>
      <w:pPr>
        <w:sectPr>
          <w:pgSz w:w="11900" w:h="16838" w:orient="portrait"/>
          <w:cols w:equalWidth="0" w:num="4">
            <w:col w:w="8320" w:space="180"/>
            <w:col w:w="500" w:space="180"/>
            <w:col w:w="160" w:space="80"/>
            <w:col w:w="2000"/>
          </w:cols>
          <w:pgMar w:left="240" w:top="230" w:right="239" w:bottom="1440" w:gutter="0" w:footer="0" w:header="0"/>
          <w:type w:val="continuous"/>
        </w:sectPr>
      </w:pPr>
    </w:p>
    <w:p>
      <w:pPr>
        <w:ind w:right="100" w:firstLine="342"/>
        <w:spacing w:after="0" w:line="308"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4, 2013 was approximately $2,693,762,154 (based on the closing price on that date for shares of the registrant’s common stock as reported by the Nasdaq Global Select Market).</w:t>
      </w:r>
    </w:p>
    <w:p>
      <w:pPr>
        <w:ind w:left="360"/>
        <w:spacing w:after="0"/>
        <w:rPr>
          <w:sz w:val="20"/>
          <w:szCs w:val="20"/>
          <w:color w:val="auto"/>
        </w:rPr>
      </w:pPr>
      <w:r>
        <w:rPr>
          <w:rFonts w:ascii="Arial" w:cs="Arial" w:eastAsia="Arial" w:hAnsi="Arial"/>
          <w:sz w:val="18"/>
          <w:szCs w:val="18"/>
          <w:color w:val="auto"/>
        </w:rPr>
        <w:t>The number of shares outstanding of the registrant’s common stock, $.0001 par value, as of May 9, 2014 was 46,384,709.</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both"/>
        <w:ind w:right="160" w:firstLine="342"/>
        <w:spacing w:after="0" w:line="306"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in connection with its 2014 Annual Meeting of Stockholders are incorporated by reference into Part III of this Form 10-K where indicated. Such Proxy Statement will be filed with the Securities and Exchange Commission not later than 120 days after the registrant’s fiscal year ended April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40" w:type="dxa"/>
            <w:vAlign w:val="bottom"/>
            <w:gridSpan w:val="8"/>
          </w:tcPr>
          <w:p>
            <w:pPr>
              <w:jc w:val="center"/>
              <w:ind w:right="4320"/>
              <w:spacing w:after="0"/>
              <w:rPr>
                <w:sz w:val="20"/>
                <w:szCs w:val="20"/>
                <w:color w:val="auto"/>
              </w:rPr>
            </w:pPr>
            <w:r>
              <w:rPr>
                <w:rFonts w:ascii="Arial" w:cs="Arial" w:eastAsia="Arial" w:hAnsi="Arial"/>
                <w:sz w:val="18"/>
                <w:szCs w:val="18"/>
                <w:b w:val="1"/>
                <w:bCs w:val="1"/>
                <w:color w:val="auto"/>
                <w:w w:val="98"/>
              </w:rPr>
              <w:t>VIASAT,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34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vMerge w:val="restart"/>
          </w:tcPr>
          <w:p>
            <w:pPr>
              <w:jc w:val="center"/>
              <w:ind w:right="446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96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87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76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Legal Proceedings</w:t>
              </w:r>
            </w:hyperlink>
          </w:p>
        </w:tc>
        <w:tc>
          <w:tcPr>
            <w:tcW w:w="8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Market for Registrant’s Common Equity, Related Stockholder Matters and Issuer Purchases of Equity Securities</w:t>
              </w:r>
            </w:hyperlink>
          </w:p>
        </w:tc>
        <w:tc>
          <w:tcPr>
            <w:tcW w:w="170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58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53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Controls and Procedures</w:t>
              </w:r>
            </w:hyperlink>
          </w:p>
        </w:tc>
        <w:tc>
          <w:tcPr>
            <w:tcW w:w="7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9580" w:type="dxa"/>
            <w:vAlign w:val="bottom"/>
            <w:gridSpan w:val="20"/>
          </w:tcPr>
          <w:p>
            <w:pPr>
              <w:spacing w:after="0" w:line="184" w:lineRule="exact"/>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6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58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58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5"/>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580" w:type="dxa"/>
            <w:vAlign w:val="bottom"/>
            <w:gridSpan w:val="20"/>
          </w:tcPr>
          <w:p>
            <w:pPr>
              <w:spacing w:after="0" w:line="184" w:lineRule="exact"/>
              <w:rPr>
                <w:rFonts w:ascii="Arial" w:cs="Arial" w:eastAsia="Arial" w:hAnsi="Arial"/>
                <w:sz w:val="18"/>
                <w:szCs w:val="18"/>
                <w:color w:val="0000EE"/>
              </w:rPr>
            </w:pPr>
            <w:hyperlink w:anchor="page67">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15"/>
          </w:tcPr>
          <w:p>
            <w:pPr>
              <w:jc w:val="center"/>
              <w:ind w:left="3112"/>
              <w:spacing w:after="0"/>
              <w:rPr>
                <w:sz w:val="20"/>
                <w:szCs w:val="20"/>
                <w:color w:val="auto"/>
              </w:rPr>
            </w:pPr>
            <w:r>
              <w:rPr>
                <w:rFonts w:ascii="Arial" w:cs="Arial" w:eastAsia="Arial" w:hAnsi="Arial"/>
                <w:sz w:val="18"/>
                <w:szCs w:val="18"/>
                <w:color w:val="auto"/>
                <w:w w:val="79"/>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our ability to successfully develop, introduce and sell new technologies, products and services; negative audits by the U.S. government; continued turmoil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Item 1A,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 xml:space="preserve">www.viasat.com. </w:t>
      </w:r>
      <w:r>
        <w:rPr>
          <w:rFonts w:ascii="Arial" w:cs="Arial" w:eastAsia="Arial" w:hAnsi="Arial"/>
          <w:sz w:val="18"/>
          <w:szCs w:val="18"/>
          <w:color w:val="auto"/>
        </w:rPr>
        <w:t>The information on our website does not constitute part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are a leading provider of high-speed fixed and mobile broadband services, advanced satellite and other wireless networks and secure networking systems, products and services. We have leveraged our success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conduct our business through three segments: satellite services, commercial networks and government systems. Financial information regarding our reporting segments and the geographic areas in which we operate is included in the consolidated financial statements and notes thereto.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Exede</w:t>
      </w:r>
      <w:r>
        <w:rPr>
          <w:rFonts w:ascii="Arial" w:cs="Arial" w:eastAsia="Arial" w:hAnsi="Arial"/>
          <w:sz w:val="11"/>
          <w:szCs w:val="11"/>
          <w:color w:val="auto"/>
        </w:rPr>
        <w:t>®</w:t>
      </w:r>
      <w:r>
        <w:rPr>
          <w:rFonts w:ascii="Arial" w:cs="Arial" w:eastAsia="Arial" w:hAnsi="Arial"/>
          <w:sz w:val="18"/>
          <w:szCs w:val="18"/>
          <w:color w:val="auto"/>
        </w:rPr>
        <w:t xml:space="preserv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 providers.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first high-capacity Ka-band spot-beam satellite, ViaSat-1, was placed into service in January 2012. At the time of launch we believe ViaSat-1was the highest capacity, most cost-efficient satellite in the world, with a data throughput of approximately 140 Gigabits per second. In May 2013, we entered into a satellite construction contract for ViaSat-2, our second high-capacity Ka-band satellite.</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that growth in our fixed and mobile broadband businesses will be driven in coming years by consumer demand for our Exede broadband services, as well as by increasing demand from enterprise and mobile users worldwide for mobile broadband solutions and broadband services offering greater bandwidth and higher speeds.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Retail and Wholesale Broadband Satellite Services. </w:t>
      </w:r>
      <w:r>
        <w:rPr>
          <w:rFonts w:ascii="Arial" w:cs="Arial" w:eastAsia="Arial" w:hAnsi="Arial"/>
          <w:sz w:val="16"/>
          <w:szCs w:val="16"/>
          <w:color w:val="auto"/>
        </w:rPr>
        <w:t>We offer retail and wholesale broadband satellite services under the Exede and WildBlue</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brands</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two-way satellite-based broadband internet access and voice over internet protocol (VOIP) to consumers and small businesses in the United States. We offer a range of service plans to both retail and wholesale customers, with pricing based on a number of different factors, including bandwidth limits, service quality levels and terms of distribution. We offer wholesale broadband services to our national and regional distribution partners, including direct-to-home satellite video providers, retail service providers and communications companies. As of April 4, 2014, we provided broadband satellite services to approximately 641,000 subscribers.</w:t>
      </w:r>
    </w:p>
    <w:p>
      <w:pPr>
        <w:spacing w:after="0" w:line="39"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mobile broadband services provide global network management and high-speed internet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customers using airborne, maritime and ground mobile satellite systems.</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Enterprise Broadband Services. </w:t>
      </w:r>
      <w:r>
        <w:rPr>
          <w:rFonts w:ascii="Arial" w:cs="Arial" w:eastAsia="Arial" w:hAnsi="Arial"/>
          <w:sz w:val="18"/>
          <w:szCs w:val="18"/>
          <w:color w:val="auto"/>
        </w:rPr>
        <w:t>We also offer high-speed broadband services to enterprises, who increasingly require higher speed, more economical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in hard-to-reach locations, as well as mobile broadband solutions. Our enterprise broadband services include in-flight WiFi (including our flagship Exede In The Air service), live on-line event streaming, oil and natural gas data gathering services and high definition satellite news gathering.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With expertise in commercial satellite network engineering, gateway construction and remote terminal manufacturing for various types of interactive communication services, combined with our advanced satellite technology and systems integration experience, we have the ability to design, build, initially operate and then hand over on a turnkey basis, fully operational, customized satellite communication systems capable of serving a variety of markets and applications. Our networking equipment and products include consumer broadband networking and indoor and outdoor customer premise equipment (CPE), satellite modem and antenna technologies, earth stations and satellite networking hubs. In particular, our consumer broadband products, satellite modems and antenna technologies enable airborne, ground mobile and maritime broadband communications and support expanding mobile and consumer broadband markets worldwide. In addition, the strength of our core government systems business provides us with an effective platform to continue to design and develop new equipment and products, as we adapt and customize communication systems and products designed for the government systems segment to commercial use and vice versa.</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We believe growth of the commercial satellite market will continue to be driven in the coming years by a number of factors, including: (1) the continued growth in worldwide demand for communications services and, in particular, the rise in both consumer and enterprise demand for products and systems enabling broadband internet access, (2) our ability to leverage the launch of ViaSat-1 and our ViaSat-2 satellite under construction, as well as other high-capacity Ka-band satellites worldwide, to increase sales of next-generation satellite communication systems, ground networking equipment and products that operate on Ka-band frequencies, (3) the improving cost-effectiveness of satellite communication networks for many uses, and the ability to use satellite communication systems to rapidly deploy communications services across wide geographic areas and to large numbers of people within the satellite footprint, and (4) recent technological advancements that broaden applications for and increase the capacity and efficiency of satellite-based networks. As satellite communications equipment becomes less expensive and new capabilities emerge in satellite communications technology, we believe that the market for satellite communications will offer additional growth opportunities, as service providers seek to rapidly and cost-efficiently deploy broadband communications services across wide geographic areas, both in suburban and rural areas in the developed world and in developing countries where the deployment of terrestrial high-capacity solutions such as fiber-optic cable is neither cost-effective nor practical. Satellite communications also provide cost-effective augmentation capability for existing terrestrial networks or broadband service providers to address network congestion caused by the continued exponential increase in the volume of multimedia content accessed via the internet.</w:t>
      </w:r>
    </w:p>
    <w:p>
      <w:pPr>
        <w:spacing w:after="0" w:line="1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right="60" w:hanging="325"/>
        <w:spacing w:after="0" w:line="25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Fixed Satellite Networks. </w:t>
      </w:r>
      <w:r>
        <w:rPr>
          <w:rFonts w:ascii="Arial" w:cs="Arial" w:eastAsia="Arial" w:hAnsi="Arial"/>
          <w:sz w:val="18"/>
          <w:szCs w:val="18"/>
          <w:color w:val="auto"/>
        </w:rPr>
        <w:t>We are a leading end-to-end network technology supplier for the fixed satellite consumer and enterprise markets. Our next-generation satellite network infrastructure and ground terminals are designed to access Ka-band broadband services on high-capacity satellites such as ViaSat-1, KA-SAT (Eutelsat’s high-capacity Ka-band satellite, which serves Europe and parts of the Middle East and Africa), and NBN Co. 1A and NBN Co. 1B (NBN Co.’s high capacity Ka-band satellites being built to serve Australia). Our SurfBeam</w:t>
      </w:r>
      <w:r>
        <w:rPr>
          <w:rFonts w:ascii="Arial" w:cs="Arial" w:eastAsia="Arial" w:hAnsi="Arial"/>
          <w:sz w:val="11"/>
          <w:szCs w:val="11"/>
          <w:color w:val="auto"/>
        </w:rPr>
        <w:t>®</w:t>
      </w:r>
      <w:r>
        <w:rPr>
          <w:rFonts w:ascii="Arial" w:cs="Arial" w:eastAsia="Arial" w:hAnsi="Arial"/>
          <w:sz w:val="18"/>
          <w:szCs w:val="18"/>
          <w:color w:val="auto"/>
        </w:rPr>
        <w:t xml:space="preserve"> network systems and modems enable satellite broadband access for residential or home office customers. We anticipate that demand for Ka-band network infrastructure and ground terminals will be driven by additional high-capacity Ka-band satellites around the world. We also offer enterprise customers related products and services to address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bandwidth constraints, latency and other issues, such as our AcceleNet</w:t>
      </w:r>
      <w:r>
        <w:rPr>
          <w:rFonts w:ascii="Arial" w:cs="Arial" w:eastAsia="Arial" w:hAnsi="Arial"/>
          <w:sz w:val="11"/>
          <w:szCs w:val="11"/>
          <w:color w:val="auto"/>
        </w:rPr>
        <w:t>®</w:t>
      </w:r>
      <w:r>
        <w:rPr>
          <w:rFonts w:ascii="Arial" w:cs="Arial" w:eastAsia="Arial" w:hAnsi="Arial"/>
          <w:sz w:val="18"/>
          <w:szCs w:val="18"/>
          <w:color w:val="auto"/>
        </w:rPr>
        <w:t xml:space="preserve"> wide area network (WAN) optimization product, which enables enterprise customers to optimize “cloud computing” services and other applications delivered over WANs.</w:t>
      </w:r>
    </w:p>
    <w:p>
      <w:pPr>
        <w:spacing w:after="0" w:line="51" w:lineRule="exact"/>
        <w:rPr>
          <w:sz w:val="20"/>
          <w:szCs w:val="20"/>
          <w:color w:val="auto"/>
        </w:rPr>
      </w:pPr>
    </w:p>
    <w:p>
      <w:pPr>
        <w:ind w:left="900" w:right="100" w:hanging="325"/>
        <w:spacing w:after="0" w:line="335"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Mobile Broadband Satellite Communication Systems. </w:t>
      </w:r>
      <w:r>
        <w:rPr>
          <w:rFonts w:ascii="Arial" w:cs="Arial" w:eastAsia="Arial" w:hAnsi="Arial"/>
          <w:sz w:val="15"/>
          <w:szCs w:val="15"/>
          <w:color w:val="auto"/>
        </w:rPr>
        <w:t>Our mobile satellite communication systems and related products provide high-speed, cost-efficient broadband access while on the move via small transceivers, and are designed for use in aircraft, high-speed trains and seagoing vessels. We also sell similar mobile satellite systems to government customers, which is included in our government satellite communication systems business.</w:t>
      </w:r>
    </w:p>
    <w:p>
      <w:pPr>
        <w:spacing w:after="0" w:line="7" w:lineRule="exact"/>
        <w:rPr>
          <w:rFonts w:ascii="Arial" w:cs="Arial" w:eastAsia="Arial" w:hAnsi="Arial"/>
          <w:sz w:val="15"/>
          <w:szCs w:val="15"/>
          <w:color w:val="auto"/>
        </w:rPr>
      </w:pPr>
    </w:p>
    <w:p>
      <w:pPr>
        <w:ind w:left="900" w:right="56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Antenna Systems</w:t>
      </w:r>
      <w:r>
        <w:rPr>
          <w:rFonts w:ascii="Arial" w:cs="Arial" w:eastAsia="Arial" w:hAnsi="Arial"/>
          <w:sz w:val="16"/>
          <w:szCs w:val="16"/>
          <w:color w:val="auto"/>
        </w:rPr>
        <w:t>. We develop, design, produce, test and install turnkey ground terminals and antennas for terrestrial and satellite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geospatial imagery, mobile satellite communication, Ka-band gateways and other multi-band antennas.</w:t>
      </w:r>
    </w:p>
    <w:p>
      <w:pPr>
        <w:spacing w:after="0" w:line="4" w:lineRule="exact"/>
        <w:rPr>
          <w:rFonts w:ascii="Arial" w:cs="Arial" w:eastAsia="Arial" w:hAnsi="Arial"/>
          <w:sz w:val="16"/>
          <w:szCs w:val="16"/>
          <w:color w:val="auto"/>
        </w:rPr>
      </w:pPr>
    </w:p>
    <w:p>
      <w:pPr>
        <w:ind w:left="900" w:right="1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Satellite Networking Development. </w:t>
      </w:r>
      <w:r>
        <w:rPr>
          <w:rFonts w:ascii="Arial" w:cs="Arial" w:eastAsia="Arial" w:hAnsi="Arial"/>
          <w:sz w:val="16"/>
          <w:szCs w:val="16"/>
          <w:color w:val="auto"/>
        </w:rPr>
        <w:t>Through our Comsat Labs division, we offer specialized design and technology services covering all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communication system architecture and technology, including the analysis, design, and specification of satellites and ground systems, ASIC and MMIC design and production, and WAN compression for enterprise networks.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the following dynamics and trends will continue to offer growth opportunities for a majority of the markets that we address in our government systems segment over the next several years: (1) the U.S. military’s increasing emphasis on “network-centric” highly mobile warfare over geographically dispersed areas, which requires the development and deployment of secure, IP-based communications networks, products and service offerings capable of supporting real-time dissemination of data using multiple transmission media, and (2) increased use of IP-based network-centric applications and other more bandwidth-intensive applications at all organizational levels, which is expected to drive continued growth in government demand for bandwidth and higher-speed broadband services and associated ground systems.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hanging="325"/>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Government Satellite Communication Systems. </w:t>
      </w:r>
      <w:r>
        <w:rPr>
          <w:rFonts w:ascii="Arial" w:cs="Arial" w:eastAsia="Arial" w:hAnsi="Arial"/>
          <w:sz w:val="16"/>
          <w:szCs w:val="16"/>
          <w:color w:val="auto"/>
        </w:rPr>
        <w:t>Our government satellite communication systems offer an array of portable, mobile and fixed</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modems, terminals, network access control systems and antenna systems using a range of satellite frequency bands for line-of-sight and beyond-line-of-sight Intelligence, Surveillance, and Reconnaissance (ISR) and Command and Control (C2) missions, satellite networking services and global mobile broadband capability with satellite technologies. Satellite-based systems are increasingly seen as the most reliable method of connecting rapidly moving armed forces who may out-run the range of terrestrial radio links. Our systems, products and service offerings are designed to support high-throughput broadband data links, to increase available bandwidth using existing satellite capacity, and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 mobile vehicles and fixed applications.</w:t>
      </w:r>
    </w:p>
    <w:p>
      <w:pPr>
        <w:spacing w:after="0" w:line="38"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Information Assurance. </w:t>
      </w:r>
      <w:r>
        <w:rPr>
          <w:rFonts w:ascii="Arial" w:cs="Arial" w:eastAsia="Arial" w:hAnsi="Arial"/>
          <w:sz w:val="18"/>
          <w:szCs w:val="18"/>
          <w:color w:val="auto"/>
        </w:rPr>
        <w:t>Our information security and assurance products provide advanced, high-speed IP-based “Type 1” and High Assurance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98" w:lineRule="auto"/>
        <w:rPr>
          <w:sz w:val="20"/>
          <w:szCs w:val="20"/>
          <w:color w:val="auto"/>
        </w:rPr>
      </w:pPr>
      <w:r>
        <w:rPr>
          <w:rFonts w:ascii="Arial" w:cs="Arial" w:eastAsia="Arial" w:hAnsi="Arial"/>
          <w:sz w:val="16"/>
          <w:szCs w:val="16"/>
          <w:color w:val="auto"/>
        </w:rPr>
        <w:t>solutions that enable military and government users to communicate information securely over networks, and that secure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32" w:lineRule="exact"/>
        <w:rPr>
          <w:sz w:val="20"/>
          <w:szCs w:val="20"/>
          <w:color w:val="auto"/>
        </w:rPr>
      </w:pPr>
    </w:p>
    <w:p>
      <w:pPr>
        <w:ind w:left="900" w:right="26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Tactical Data Links. </w:t>
      </w:r>
      <w:r>
        <w:rPr>
          <w:rFonts w:ascii="Arial" w:cs="Arial" w:eastAsia="Arial" w:hAnsi="Arial"/>
          <w:sz w:val="18"/>
          <w:szCs w:val="18"/>
          <w:color w:val="auto"/>
        </w:rPr>
        <w:t>We develop and produce advanced tactical radio and information distribution systems that enable real-time collection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dissemination of video and data using secure, jam-resistant transmission links from manned aircraft, ground mobile vehicles and other remote platforms to networked communication and command centers. Key products in this category include our Multifunctional Information Distribution System (MIDS) terminals for military fighter jets and their successor, MIDS Joint Tactical Radio System (MIDS-JTRS) terminals, “disposable” weapon data links and portable small tactical terminals.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the following strengths position our business to capitalize on the attractive growth opportunities presented in each of our business segments:</w:t>
      </w:r>
    </w:p>
    <w:p>
      <w:pPr>
        <w:spacing w:after="0" w:line="113" w:lineRule="exact"/>
        <w:rPr>
          <w:sz w:val="20"/>
          <w:szCs w:val="20"/>
          <w:color w:val="auto"/>
        </w:rPr>
      </w:pPr>
    </w:p>
    <w:p>
      <w:pPr>
        <w:ind w:left="900" w:right="40" w:hanging="325"/>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Leading Satellite and Wireless Technology Platform and Services. </w:t>
      </w:r>
      <w:r>
        <w:rPr>
          <w:rFonts w:ascii="Arial" w:cs="Arial" w:eastAsia="Arial" w:hAnsi="Arial"/>
          <w:sz w:val="16"/>
          <w:szCs w:val="16"/>
          <w:color w:val="auto"/>
        </w:rPr>
        <w:t>We believe our ability to design and deliver cost-effective satellite and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and networking solutions, covering both the provision of high-speed broadband services and the supply of advanced communications systems, ground network equipment and end-user terminals, enables us to provide our customers with a diverse portfolio of leading applications and service solutions. Our product and service offerings are often linked through common underlying technologies, customer applications and market relationships. We believe that many of the market segments in which we compete have significant barriers to entry relating to the complexity of technology, the amount of required developmental funding, the willingness of the customer to support multiple suppliers and the importance of existing customer relationships. We believe our history of developing complex secure satellite and wireless networking and communications technologies demonstrates that we possess the expertise and credibility required to serve the evolving technology needs of our customers.</w:t>
      </w:r>
    </w:p>
    <w:p>
      <w:pPr>
        <w:spacing w:after="0" w:line="38"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Innovation of Next-Generation Satellite Technology. </w:t>
      </w:r>
      <w:r>
        <w:rPr>
          <w:rFonts w:ascii="Arial" w:cs="Arial" w:eastAsia="Arial" w:hAnsi="Arial"/>
          <w:sz w:val="16"/>
          <w:szCs w:val="16"/>
          <w:color w:val="auto"/>
        </w:rPr>
        <w:t>Our first high-capacity Ka-band spot-beam satellite, ViaSat-1, was placed into service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2012. With the market demonstrating increasing demand for satellite broadband services, ViaSat-1 and our associated next-generation ground segment technology were designed to significantly expand the quality, capability and availability of high-speed broadband satellite services for consumers and enterprises. In February 2012, the Society of Satellite Professionals International bestowed an Industry Innovators Award on us in recognition of the development and launch of our ViaSat-1 satellite, and in 2013 ViaSat-1 earned a Guinness World Records</w:t>
      </w:r>
      <w:r>
        <w:rPr>
          <w:rFonts w:ascii="Arial" w:cs="Arial" w:eastAsia="Arial" w:hAnsi="Arial"/>
          <w:sz w:val="10"/>
          <w:szCs w:val="10"/>
          <w:color w:val="auto"/>
        </w:rPr>
        <w:t>®</w:t>
      </w:r>
      <w:r>
        <w:rPr>
          <w:rFonts w:ascii="Arial" w:cs="Arial" w:eastAsia="Arial" w:hAnsi="Arial"/>
          <w:sz w:val="16"/>
          <w:szCs w:val="16"/>
          <w:color w:val="auto"/>
        </w:rPr>
        <w:t xml:space="preserve"> title as the highest-capacity communications satellite in the world. In May 2013, we entered into a satellite construction contract for ViaSat-2, our second high-capacity Ka-band satellite, which we expect will significantly improve the speed and availability of broadband services over an expanded coverage area.</w:t>
      </w:r>
    </w:p>
    <w:p>
      <w:pPr>
        <w:spacing w:after="0" w:line="37" w:lineRule="exact"/>
        <w:rPr>
          <w:rFonts w:ascii="Arial" w:cs="Arial" w:eastAsia="Arial" w:hAnsi="Arial"/>
          <w:sz w:val="16"/>
          <w:szCs w:val="16"/>
          <w:color w:val="auto"/>
        </w:rPr>
      </w:pPr>
    </w:p>
    <w:p>
      <w:pPr>
        <w:ind w:left="900" w:right="180" w:hanging="325"/>
        <w:spacing w:after="0" w:line="323"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Blue-Chip Customer Base and Favorable Consumer Contract Terms. </w:t>
      </w:r>
      <w:r>
        <w:rPr>
          <w:rFonts w:ascii="Arial" w:cs="Arial" w:eastAsia="Arial" w:hAnsi="Arial"/>
          <w:sz w:val="15"/>
          <w:szCs w:val="15"/>
          <w:color w:val="auto"/>
        </w:rPr>
        <w:t>Our customers include the DoD, civil agencies, defense contractors, allied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governments, satellite network integrators, large communications service providers and enterprises requiring complex communications and networking solutions and services. We believe that the credit strength of our key customers, including the U.S. government and leading aerospace and defense prime contractors, as well as our favorable consumer broadband contract terms, help support more consistent financial performance.</w:t>
      </w:r>
    </w:p>
    <w:p>
      <w:pPr>
        <w:spacing w:after="0" w:line="16" w:lineRule="exact"/>
        <w:rPr>
          <w:rFonts w:ascii="Arial" w:cs="Arial" w:eastAsia="Arial" w:hAnsi="Arial"/>
          <w:sz w:val="15"/>
          <w:szCs w:val="15"/>
          <w:color w:val="auto"/>
        </w:rPr>
      </w:pPr>
    </w:p>
    <w:p>
      <w:pPr>
        <w:ind w:left="900" w:right="4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Chief Executive Officer, Mark Dankberg, and our Chief Technology Officers have been with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since its inception in 1986. Mr. Dankberg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considered to be a leading expert in the field of wireless and satellite communications. In 2008, Mr. Dankberg received the prestigious AIAA Aerospace International Communication award, which recognized him for “shepherding ViaSat into a leading satellite communications company through outstanding leadership and technical expertise.”</w:t>
      </w:r>
    </w:p>
    <w:p>
      <w:pPr>
        <w:spacing w:after="0" w:line="59" w:lineRule="exact"/>
        <w:rPr>
          <w:sz w:val="20"/>
          <w:szCs w:val="20"/>
          <w:color w:val="auto"/>
        </w:rPr>
      </w:pPr>
    </w:p>
    <w:p>
      <w:pPr>
        <w:ind w:left="900" w:right="6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Innovative Product Development and Cost-Efficient Business Model. </w:t>
      </w:r>
      <w:r>
        <w:rPr>
          <w:rFonts w:ascii="Arial" w:cs="Arial" w:eastAsia="Arial" w:hAnsi="Arial"/>
          <w:sz w:val="16"/>
          <w:szCs w:val="16"/>
          <w:color w:val="auto"/>
        </w:rPr>
        <w:t>Maintaining technological competencies and innovative new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has been one of our hallmarks and continues to be critical to our success. Our research and development efforts are supported by an employee base of over 1,600 engineers and a culture that deeply values innovation. We balance an emphasis on new product development with efficient management of our capital. For example, the majority of our research and development efforts with respect to the development of new products or applications are funded by customers. In addition, we drive capital efficiencies by outsourcing a significant portion of our manufacturing to subcontractors with whom we collaborate to ensure quality control and superior finished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jc w:val="both"/>
        <w:ind w:right="220" w:firstLine="456"/>
        <w:spacing w:after="0" w:line="305" w:lineRule="auto"/>
        <w:rPr>
          <w:sz w:val="20"/>
          <w:szCs w:val="20"/>
          <w:color w:val="auto"/>
        </w:rPr>
      </w:pPr>
      <w:r>
        <w:rPr>
          <w:rFonts w:ascii="Arial" w:cs="Arial" w:eastAsia="Arial" w:hAnsi="Arial"/>
          <w:sz w:val="15"/>
          <w:szCs w:val="15"/>
          <w:color w:val="auto"/>
        </w:rPr>
        <w:t>Our objective is to leverage our advanced technology and capabilities to: (1) develop high-speed, high-capacity satellite broadband technologies to grow the size of the consumer satellite broadband, commercial enterprise and networking markets, while also capturing a significant share of these growing markets,</w:t>
      </w:r>
    </w:p>
    <w:p>
      <w:pPr>
        <w:jc w:val="both"/>
        <w:ind w:right="260" w:firstLine="8"/>
        <w:spacing w:after="0" w:line="255"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leadership position, while reducing costs and increasing profitability, in our satellite and wireless communications markets, and (3) increase our role as the U.S. government increases its emphasis on IP-based, highly secure, highly mobile, network-centric warfare. The principal elements of our strategy include:</w:t>
      </w:r>
    </w:p>
    <w:p>
      <w:pPr>
        <w:spacing w:after="0" w:line="63" w:lineRule="exact"/>
        <w:rPr>
          <w:rFonts w:ascii="Arial" w:cs="Arial" w:eastAsia="Arial" w:hAnsi="Arial"/>
          <w:sz w:val="18"/>
          <w:szCs w:val="18"/>
          <w:color w:val="auto"/>
        </w:rPr>
      </w:pPr>
    </w:p>
    <w:p>
      <w:pPr>
        <w:ind w:left="900" w:hanging="325"/>
        <w:spacing w:after="0" w:line="284"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Address Increasingly Larger Markets. </w:t>
      </w:r>
      <w:r>
        <w:rPr>
          <w:rFonts w:ascii="Arial" w:cs="Arial" w:eastAsia="Arial" w:hAnsi="Arial"/>
          <w:sz w:val="16"/>
          <w:szCs w:val="16"/>
          <w:color w:val="auto"/>
        </w:rPr>
        <w:t>We have focused on addressing larger markets since our inception. As we have grown our revenues, we are</w:t>
      </w:r>
      <w:r>
        <w:rPr>
          <w:rFonts w:ascii="Arial" w:cs="Arial" w:eastAsia="Arial" w:hAnsi="Arial"/>
          <w:sz w:val="16"/>
          <w:szCs w:val="16"/>
          <w:i w:val="1"/>
          <w:iCs w:val="1"/>
          <w:color w:val="auto"/>
        </w:rPr>
        <w:t xml:space="preserve"> </w:t>
      </w:r>
      <w:r>
        <w:rPr>
          <w:rFonts w:ascii="Arial" w:cs="Arial" w:eastAsia="Arial" w:hAnsi="Arial"/>
          <w:sz w:val="16"/>
          <w:szCs w:val="16"/>
          <w:color w:val="auto"/>
        </w:rPr>
        <w:t>able to target larger opportunities and markets more credibly and more successfully. We consider several factors in selecting new market opportunities, including whether: (1) there are meaningful entry barriers for new competitors (for example, specialized technologies or relationships),</w:t>
      </w:r>
    </w:p>
    <w:p>
      <w:pPr>
        <w:spacing w:after="0" w:line="1" w:lineRule="exact"/>
        <w:rPr>
          <w:rFonts w:ascii="Arial" w:cs="Arial" w:eastAsia="Arial" w:hAnsi="Arial"/>
          <w:sz w:val="16"/>
          <w:szCs w:val="16"/>
          <w:color w:val="auto"/>
        </w:rPr>
      </w:pPr>
    </w:p>
    <w:p>
      <w:pPr>
        <w:ind w:left="900" w:right="100"/>
        <w:spacing w:after="0" w:line="261" w:lineRule="auto"/>
        <w:rPr>
          <w:rFonts w:ascii="Arial" w:cs="Arial" w:eastAsia="Arial" w:hAnsi="Arial"/>
          <w:sz w:val="16"/>
          <w:szCs w:val="16"/>
          <w:color w:val="auto"/>
        </w:rPr>
      </w:pPr>
      <w:r>
        <w:rPr>
          <w:rFonts w:ascii="Arial" w:cs="Arial" w:eastAsia="Arial" w:hAnsi="Arial"/>
          <w:sz w:val="18"/>
          <w:szCs w:val="18"/>
          <w:color w:val="auto"/>
        </w:rPr>
        <w:t>(2) the new market is the right size and consistent with our growth objectives, and (3) the customers in the market value our technology competence and focus, which makes us an attractive partner.</w:t>
      </w:r>
    </w:p>
    <w:p>
      <w:pPr>
        <w:spacing w:after="0" w:line="56" w:lineRule="exact"/>
        <w:rPr>
          <w:rFonts w:ascii="Arial" w:cs="Arial" w:eastAsia="Arial" w:hAnsi="Arial"/>
          <w:sz w:val="16"/>
          <w:szCs w:val="16"/>
          <w:color w:val="auto"/>
        </w:rPr>
      </w:pPr>
    </w:p>
    <w:p>
      <w:pPr>
        <w:ind w:left="900" w:right="20" w:hanging="325"/>
        <w:spacing w:after="0" w:line="323" w:lineRule="auto"/>
        <w:tabs>
          <w:tab w:leader="none" w:pos="900" w:val="left"/>
        </w:tabs>
        <w:numPr>
          <w:ilvl w:val="1"/>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Evolve into Adjacent Technologies and Markets. </w:t>
      </w:r>
      <w:r>
        <w:rPr>
          <w:rFonts w:ascii="Arial" w:cs="Arial" w:eastAsia="Arial" w:hAnsi="Arial"/>
          <w:sz w:val="15"/>
          <w:szCs w:val="15"/>
          <w:color w:val="auto"/>
        </w:rPr>
        <w:t>We anticipate continued organic growth into adjacent technologies and markets. We seek to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our share in the market segments we address by selling existing or customized versions of technologies we developed for one customer base to a different market — for instance, to different segments of the government market or between government and commercial markets. In addition, we seek to expand the breadth of technologies and products we offer by selling new, but related, technologies and products to existing customers.</w:t>
      </w:r>
    </w:p>
    <w:p>
      <w:pPr>
        <w:spacing w:after="0" w:line="16" w:lineRule="exact"/>
        <w:rPr>
          <w:rFonts w:ascii="Arial" w:cs="Arial" w:eastAsia="Arial" w:hAnsi="Arial"/>
          <w:sz w:val="15"/>
          <w:szCs w:val="15"/>
          <w:color w:val="auto"/>
        </w:rPr>
      </w:pPr>
    </w:p>
    <w:p>
      <w:pPr>
        <w:ind w:left="900" w:right="80" w:hanging="325"/>
        <w:spacing w:after="0" w:line="294"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Focus on International Opportunities. </w:t>
      </w:r>
      <w:r>
        <w:rPr>
          <w:rFonts w:ascii="Arial" w:cs="Arial" w:eastAsia="Arial" w:hAnsi="Arial"/>
          <w:sz w:val="16"/>
          <w:szCs w:val="16"/>
          <w:color w:val="auto"/>
        </w:rPr>
        <w:t>International revenues represented approximately 23%, 25% and 21% of our total revenues in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2014, 2013 and 2012, respectively. We believe our comprehensive offering of satellite communications products, systems and services will continue to be attractive to government and commercial customers internationally, and that international markets represent an attractive opportunity for our business. In addition, we expect that our domestic satellite broadband services business will provide a platform for the provision of network management and back-office services to international providers of satellite broadband services.</w:t>
      </w:r>
    </w:p>
    <w:p>
      <w:pPr>
        <w:spacing w:after="0" w:line="34" w:lineRule="exact"/>
        <w:rPr>
          <w:rFonts w:ascii="Arial" w:cs="Arial" w:eastAsia="Arial" w:hAnsi="Arial"/>
          <w:sz w:val="16"/>
          <w:szCs w:val="16"/>
          <w:color w:val="auto"/>
        </w:rPr>
      </w:pPr>
    </w:p>
    <w:p>
      <w:pPr>
        <w:ind w:left="900" w:right="100" w:hanging="325"/>
        <w:spacing w:after="0" w:line="294"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Pursue Growth Through Strategic Alliances and Relationships. </w:t>
      </w:r>
      <w:r>
        <w:rPr>
          <w:rFonts w:ascii="Arial" w:cs="Arial" w:eastAsia="Arial" w:hAnsi="Arial"/>
          <w:sz w:val="16"/>
          <w:szCs w:val="16"/>
          <w:color w:val="auto"/>
        </w:rPr>
        <w:t>We have regularly entered into teaming arrangements with other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contractors to more effectively capture complex government programs, and we expect to continue to actively seek strategic relationships and ventures with companies whose financial, marketing, operational or technological resources can accelerate the introduction of new technologies and the penetration of new markets. We have also engaged in strategic relationships with companies that have innovative technologies and products, highly skilled personnel, market presence, or customer relationships and distribution channels that complement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strategy. We may continue to evaluate acquisitions of, or investments in, complementary companies, businesses, products or technologies to supplement our internal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Initially, we focused primarily on developing satellite communication systems and equipment for the U.S. government, and our U.S. government contracts remain a core part of our business. We then successfully diversified into other related markets for advanced satellite communication systems, ground networking equipment and products and secure networking systems, serving a range of government and commercial customers. Over the past ten years, we have significantly expanded this customer base both domestically and internationally. More recently, we have successfully diversified into related markets for broadband satellite services, successfully placing ViaSat-1, our first high-capacity Ka-band spot-beam satellite, into service in January 2012 and offering retail and wholesale satellite-based broadband to consumer, enterprise and mobile broadband customers primarily in the United States. In May 2013, we entered into a satellite construction contract for ViaSat-2, which is expected to expand the geographic markets we address.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customers of our government systems and commercial networks segments include the DoD, U.S. National Security Agency, the U.S. Department of Homeland Security, allied foreign governments, select other U.S. federal, state and local government agencies,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prime contractors. For our commercial contracts, we also act as both a prime contractor and subcontractor for the sale of equipment and services. Customers of our satellite services segment include residential customers, small businesses and other enterprise customers of our broadband services, including commercial airlines.</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Revenues from the U.S. government as a customer comprised approximately 21%, 24% and 20% of total revenues for fiscal years 2014, 2013 and 2012, respectively. None of our commercial customers comprised 10% or more of total revenues in fiscal years 2014, 2013 and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perform the contract. Under a fixed-price contract, we agree to perform specific work for a fixed price and, accordingly, realize the benefit or detriment to the extent that the actual cost of performing the work differs from the contract price. In fiscal year 2014, approximately 9% of our total government revenues was generated from cost-reimbursement contracts with the federal government or our prime contractors, 1% from time-and-materials contracts and approximately 90% from fixed-price contracts.</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9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new and enhanced products, is a significant factor in maintaining or improving our competitive position and our prospects for growth. Therefore, we continue to make significant investments in product development.</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the majority of our research and product development activities in-house and have a research and development and engineering staff, which includes over 1,600 engineers. Our product development activities focus on products that we consider viable revenue opportunities to support all of our business segments. A significant portion of our research and development efforts have generally been conducted in direct response to the specific requirements of a customer’s order and, accordingly, these amounts are included in the cost of sales when incurred and the related funding is included in revenues at that time.</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portion of our contract revenues which includes research and development funded by government and commercial customers was approximately 31%, 26% and 26% during fiscal years 2014, 2013 and 2012, respectively, of our total revenues. In addition, we incurred $60.7 million, $35.4 million and $25.0 million during fiscal years 2014, 2013 and 2012, respectively, on independent research and development (IR&amp;D) expenses, which comprises research and development not directly funded by a third party. Funded research and development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research and development programs.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seek to establish and maintain our proprietary rights in our technology and products through a combination of patents, copyrights, trademarks, trade secret laws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See “Legal Proceedings” in Item 3 for a discussion of certain patent infringement litigation relating to our satellites.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 as described below:</w:t>
      </w:r>
    </w:p>
    <w:p>
      <w:pPr>
        <w:spacing w:after="0" w:line="51" w:lineRule="exact"/>
        <w:rPr>
          <w:sz w:val="20"/>
          <w:szCs w:val="20"/>
          <w:color w:val="auto"/>
        </w:rPr>
      </w:pPr>
    </w:p>
    <w:p>
      <w:pPr>
        <w:ind w:left="900" w:right="20" w:hanging="325"/>
        <w:spacing w:after="0" w:line="323"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Satellite Services Sales Organization. </w:t>
      </w:r>
      <w:r>
        <w:rPr>
          <w:rFonts w:ascii="Arial" w:cs="Arial" w:eastAsia="Arial" w:hAnsi="Arial"/>
          <w:sz w:val="15"/>
          <w:szCs w:val="15"/>
          <w:color w:val="auto"/>
        </w:rPr>
        <w:t>Our satellite services sales organization includes over 1,000 retailers, including DirecTV, and wholesale</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relationships with DISH Network and the National Rural Telecommunications Cooperative for our satellite-based broadband services, as well as our own retail distribution channel, which sells directly to residential customers. Our satellite services sales organization also includes direct sales and business development personnel who work with enterprises to identify business opportunities and develop solutions for customers’ needs.</w:t>
      </w:r>
    </w:p>
    <w:p>
      <w:pPr>
        <w:spacing w:after="0" w:line="16" w:lineRule="exact"/>
        <w:rPr>
          <w:rFonts w:ascii="Arial" w:cs="Arial" w:eastAsia="Arial" w:hAnsi="Arial"/>
          <w:sz w:val="15"/>
          <w:szCs w:val="15"/>
          <w:color w:val="auto"/>
        </w:rPr>
      </w:pPr>
    </w:p>
    <w:p>
      <w:pPr>
        <w:ind w:left="90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Commercial Networks Sales Organization. </w:t>
      </w:r>
      <w:r>
        <w:rPr>
          <w:rFonts w:ascii="Arial" w:cs="Arial" w:eastAsia="Arial" w:hAnsi="Arial"/>
          <w:sz w:val="16"/>
          <w:szCs w:val="16"/>
          <w:color w:val="auto"/>
        </w:rPr>
        <w:t>Our commercial networks sales organization consists of sales managers and sales engineers, who act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318"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Government Systems Sales Organization. </w:t>
      </w:r>
      <w:r>
        <w:rPr>
          <w:rFonts w:ascii="Arial" w:cs="Arial" w:eastAsia="Arial" w:hAnsi="Arial"/>
          <w:sz w:val="15"/>
          <w:szCs w:val="15"/>
          <w:color w:val="auto"/>
        </w:rPr>
        <w:t>Our government systems sales organization consists of both direct sales personnel who sell our standard</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18" w:lineRule="exact"/>
        <w:rPr>
          <w:rFonts w:ascii="Arial" w:cs="Arial" w:eastAsia="Arial" w:hAnsi="Arial"/>
          <w:sz w:val="15"/>
          <w:szCs w:val="15"/>
          <w:color w:val="auto"/>
        </w:rPr>
      </w:pPr>
    </w:p>
    <w:p>
      <w:pPr>
        <w:ind w:left="900" w:right="12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Strategic Partners. </w:t>
      </w:r>
      <w:r>
        <w:rPr>
          <w:rFonts w:ascii="Arial" w:cs="Arial" w:eastAsia="Arial" w:hAnsi="Arial"/>
          <w:sz w:val="16"/>
          <w:szCs w:val="16"/>
          <w:color w:val="auto"/>
        </w:rPr>
        <w:t>To augment our direct sales efforts, we seek to develop key strategic relationships to market and sell our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public relations, advertising, trade show participation and conference speaking engagements by providing communications that keep the market current on our products and features. Our marketing team also identifies and sizes new target markets for our products, creates awareness of our company and products, and generates contacts and leads within these targeted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markets in which we compete are characterized by rapid change, converging technologies and a migration to solutions that offer superior advantages. These market factors represent both an opportunity and a competitive threat to us. In our satellite services and commercial networks segments, we compete with ASC Signal, Astrium, AT&amp;T, CenturyLink, Clearwire, Comtech, DISH Network, Earthlink, Frontier, General Dynamics, Gilat, EchoStar (Hughes Network Systems), iDirect Technologies, Inmarsat, L-3 Communications, Newtec, Panasonic, Row 44, Space Systems/Loral (SS/L), Thales, Verizon and Zodiac Data Systems, each of which offers a broad range of satellite or terrestrial communications products and services, and with other internet service providers in areas where such competing services are available. Within our government systems segment, we generally compete with manufacturers of defense electronics products, systems or subsystems, such as BAE Systems, General Dynamics, Harris, L-3 Communications, Rockwell Collins and similar companies. We may also occasionally compete directly with the largest defense prime contractors, including Boeing, Lockheed Martin, Northrop Grumman or Raytheon Systems. Many of our competitors are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companies, while competitors, can also be our customers or partners. Accordingly, maintaining an open and cooperative relationship is important.</w:t>
      </w:r>
    </w:p>
    <w:p>
      <w:pPr>
        <w:spacing w:after="0" w:line="19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overall number of our competitors may increase, and the identity and composition of competitors may change. As we continue to expand our sales globally, we may see new competition in different geographic regions. Many of our competitors have significant competitive advantages, including strong customer relationships, more experience with regulatory compliance, greater financial and management resources and access to technologies not available to us. In addition, our satellite services segment may face increasing competition as a result of industry consolidation and vertical integration, which may enable our competitors to provide competing services to broader customer segments or to offer bundled service offerings that we are not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able to duplicate, or which may reduce demand for our wholesale broadband services. Further, some of our customers continuously evaluate whether to develop and manufacture their own products and could elect to compete with us at any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compete with these providers, we emphasize: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cost-effectiveness of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advantages and advanced features of our antenna systems as compared to our competitors’ offerings;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cost of our antenna systems and satellite networks, which can include equipment, installation and bandwidth costs, as compared to products offered by terrestrial and other satellite service providers.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While we believe we compete successfully in each of these factors, we expect to face intense competition in each of our markets.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Davida Technology Partners, EADS, Harris, IEC Electronics Corporation, Mack Technologies, Microelectronics Technology (MTI), Regal Technology Partners and Spectral Response.</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new product development support and customized products that need to be manufactured in strict accordance with a customer’s specifications and delivery schedule. Therefore, our internal manufacturing capability for standard products has been, and is expected to continue to be, very limited and we intend to</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which require the coordination of the operation of satellite systems in certain circumstances, and more generally are intended to avoid the occurrence of harmful interference among different users of the radio spectrum.</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and for regulating the technical and other aspects of the operation of these facilities.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Earth Stations. </w:t>
      </w:r>
      <w:r>
        <w:rPr>
          <w:rFonts w:ascii="Arial" w:cs="Arial" w:eastAsia="Arial" w:hAnsi="Arial"/>
          <w:sz w:val="16"/>
          <w:szCs w:val="16"/>
          <w:color w:val="auto"/>
        </w:rPr>
        <w:t>The Communications Act requires a license for the operation of transmitting satellite earth station facilities and certain receiving satellite</w:t>
      </w:r>
      <w:r>
        <w:rPr>
          <w:rFonts w:ascii="Arial" w:cs="Arial" w:eastAsia="Arial" w:hAnsi="Arial"/>
          <w:sz w:val="16"/>
          <w:szCs w:val="16"/>
          <w:i w:val="1"/>
          <w:iCs w:val="1"/>
          <w:color w:val="auto"/>
        </w:rPr>
        <w:t xml:space="preserve"> </w:t>
      </w:r>
      <w:r>
        <w:rPr>
          <w:rFonts w:ascii="Arial" w:cs="Arial" w:eastAsia="Arial" w:hAnsi="Arial"/>
          <w:sz w:val="16"/>
          <w:szCs w:val="16"/>
          <w:color w:val="auto"/>
        </w:rPr>
        <w:t>earth station facilities in the United States. We currently hold licenses authorizing us to operate various earth stations within the United States, including but not limited to user terminals, “gateway” facilities and network hubs. These licenses typically are granted for 10 to 15 year terms, and renewed in the ordinary course. Material changes in these operations would require prior approval by the FCC. The operation of our earth stations is subject to various license conditions, as well as the technical and operational requirements of the FCC’s rules and regulations.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Space Stations. </w:t>
      </w:r>
      <w:r>
        <w:rPr>
          <w:rFonts w:ascii="Arial" w:cs="Arial" w:eastAsia="Arial" w:hAnsi="Arial"/>
          <w:sz w:val="16"/>
          <w:szCs w:val="16"/>
          <w:color w:val="auto"/>
        </w:rPr>
        <w:t>In the United States, the FCC authorizes the launch and operation of commercial spacecraft, and also authorizes non-U.S.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spacecraft to be used to serve the United States. The FCC has authorized the use of the ViaSat-1, WildBlue-1 and Anik F2 spacecraft to serve the United States. The use of these spacecraft in our business is subject to various conditions in the underlying authorizations, as well as the technical and operational requirements of the FCC’s rules and regulations. For example, in granting such authorization with respect to ViaSat-1, the FCC imposed implementation milestones that we had to satisfy in order to maintain that authorization. We met all of these milestones well in advance of their respective deadlines, and the FCC has confirmed that the milestones have all been satisfied.</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Universal Service. </w:t>
      </w:r>
      <w:r>
        <w:rPr>
          <w:rFonts w:ascii="Arial" w:cs="Arial" w:eastAsia="Arial" w:hAnsi="Arial"/>
          <w:sz w:val="16"/>
          <w:szCs w:val="16"/>
          <w:color w:val="auto"/>
        </w:rPr>
        <w:t>Certain of our services may constitute the provision of telecommunications to, from or within the United States, and may require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16.6%. Current FCC rules permit us to pass this universal service contribution through to our customers. The FCC also is considering whether and how to alter the regulatory framework governing federal universal service support mechanisms. For example, in November 2011, the FCC adopted an order establishing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new universal service funding mechanism to support the provision of voice and broadband services in certain high-cost areas of the United States, to be known as the Connect America Fund (CAF). Among other things, the new CAF mechanism would grant incumbent wireline carriers rights of first refusal allowing them to secure the vast majority of available support, to the exclusion of competitive service providers. Satellite broadband providers would be eligible for much more limited funding, which may place us at a competitive disadvantage in the provision of broadband services in rural areas. The CAF mechanism has not yet been fully implemented, and the FCC has sought further public comment with respect to certain details of implementation. Moreover, the FCC order establishing the CAF is the subject of pending petitions for reconsideration filed with the FCC, as well as pending judicial appeals. As such, it is uncertain how and when the CAF will be implemented, and how such implementation could impact satellite broadband providers. If the CAF, as implemented, were to give incumbents a competitive advantage in providing broadband services in supported areas, this could have a material adverse effect on our business, financial condition and results of operations.</w:t>
      </w:r>
    </w:p>
    <w:p>
      <w:pPr>
        <w:spacing w:after="0" w:line="120"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providers and broadband internet access providers to ensure that law enforcement agencies are able to conduct lawfully-authorized surveillance of users of their services.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Net Neutrality. </w:t>
      </w:r>
      <w:r>
        <w:rPr>
          <w:rFonts w:ascii="Arial" w:cs="Arial" w:eastAsia="Arial" w:hAnsi="Arial"/>
          <w:sz w:val="16"/>
          <w:szCs w:val="16"/>
          <w:color w:val="auto"/>
        </w:rPr>
        <w:t>In December 2010, the FCC adopted rules intended to preserve the openness of the internet, a concept generally referred to as “net</w:t>
      </w:r>
      <w:r>
        <w:rPr>
          <w:rFonts w:ascii="Arial" w:cs="Arial" w:eastAsia="Arial" w:hAnsi="Arial"/>
          <w:sz w:val="16"/>
          <w:szCs w:val="16"/>
          <w:i w:val="1"/>
          <w:iCs w:val="1"/>
          <w:color w:val="auto"/>
        </w:rPr>
        <w:t xml:space="preserve"> </w:t>
      </w:r>
      <w:r>
        <w:rPr>
          <w:rFonts w:ascii="Arial" w:cs="Arial" w:eastAsia="Arial" w:hAnsi="Arial"/>
          <w:sz w:val="16"/>
          <w:szCs w:val="16"/>
          <w:color w:val="auto"/>
        </w:rPr>
        <w:t>neutrality.” These rules, among other things, prohibited facilities-based broadband internet access service providers from preventing end-user customers from accessing lawful content or running applications of their choice over the internet, and from connecting and using devices that do not harm the network; they also required facilities-based broadband internet access service providers to treat lawful content, applications, and services in a nondiscriminatory manner, and to make certain disclosures concerning their practices as they relate to the openness of their networks. Because the rules permitted us to employ reasonable techniques to manage traffic on our network and included certain other exemptions, we did not believe that these rules would have a material impact on our operations. In January 2014, the U.S. Court of Appeals for the District of Columbia Circuit found that the rules had not been adequately justified by the FCC, vacated them in large part, and remanded the matter to the FCC for further proceedings. In May 2014, the FCC initiated a rulemaking proceeding that could result in new “net neutrality” rules, which could have a different impact on our operations if and when they are adopted and implemented.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Licensing</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authorizations with foreign governmental authorities.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In the United States, 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The FCC requires that equipment be tested either by the manufacturer or by a private testing organization to ensure compliance with the applicable technical requirements. For other classes of device, the FCC requires submission of an application, which must be approved by the FCC, or in some instances may be approved by a private testing organization.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 government and other agency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any materials filed with the SEC may be read and copied by the public at the SEC’s 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April 4, 2014, we employed approximately 3,100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executive officers and their ages as of April 4,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414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920" w:type="dxa"/>
            <w:vAlign w:val="bottom"/>
          </w:tcPr>
          <w:p>
            <w:pPr>
              <w:spacing w:after="0"/>
              <w:rPr>
                <w:sz w:val="15"/>
                <w:szCs w:val="15"/>
                <w:color w:val="auto"/>
              </w:rPr>
            </w:pPr>
          </w:p>
        </w:tc>
      </w:tr>
      <w:tr>
        <w:trPr>
          <w:trHeight w:val="203"/>
        </w:trPr>
        <w:tc>
          <w:tcPr>
            <w:tcW w:w="2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58</w:t>
            </w:r>
          </w:p>
        </w:tc>
        <w:tc>
          <w:tcPr>
            <w:tcW w:w="8540" w:type="dxa"/>
            <w:vAlign w:val="bottom"/>
            <w:tcBorders>
              <w:top w:val="single" w:sz="8" w:color="CCEEFF"/>
            </w:tcBorders>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260" w:type="dxa"/>
            <w:vAlign w:val="bottom"/>
          </w:tcPr>
          <w:p>
            <w:pPr>
              <w:spacing w:after="0"/>
              <w:rPr>
                <w:sz w:val="20"/>
                <w:szCs w:val="20"/>
                <w:color w:val="auto"/>
              </w:rPr>
            </w:pPr>
            <w:r>
              <w:rPr>
                <w:rFonts w:ascii="Arial" w:cs="Arial" w:eastAsia="Arial" w:hAnsi="Arial"/>
                <w:sz w:val="18"/>
                <w:szCs w:val="18"/>
                <w:color w:val="auto"/>
              </w:rPr>
              <w:t>44</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Vice President — Corporate Controller and Chief Accounting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Estes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59</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 Enterprise Services</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Kevin Harkenrider</w:t>
            </w:r>
          </w:p>
        </w:tc>
        <w:tc>
          <w:tcPr>
            <w:tcW w:w="260" w:type="dxa"/>
            <w:vAlign w:val="bottom"/>
          </w:tcPr>
          <w:p>
            <w:pPr>
              <w:spacing w:after="0"/>
              <w:rPr>
                <w:sz w:val="20"/>
                <w:szCs w:val="20"/>
                <w:color w:val="auto"/>
              </w:rPr>
            </w:pPr>
            <w:r>
              <w:rPr>
                <w:rFonts w:ascii="Arial" w:cs="Arial" w:eastAsia="Arial" w:hAnsi="Arial"/>
                <w:sz w:val="18"/>
                <w:szCs w:val="18"/>
                <w:color w:val="auto"/>
              </w:rPr>
              <w:t>58</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 Broadband Services</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Hart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 Engineering and Chief Technical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260" w:type="dxa"/>
            <w:vAlign w:val="bottom"/>
          </w:tcPr>
          <w:p>
            <w:pPr>
              <w:spacing w:after="0"/>
              <w:rPr>
                <w:sz w:val="20"/>
                <w:szCs w:val="20"/>
                <w:color w:val="auto"/>
              </w:rPr>
            </w:pPr>
            <w:r>
              <w:rPr>
                <w:rFonts w:ascii="Arial" w:cs="Arial" w:eastAsia="Arial" w:hAnsi="Arial"/>
                <w:sz w:val="18"/>
                <w:szCs w:val="18"/>
                <w:color w:val="auto"/>
              </w:rPr>
              <w:t>41</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Vice President — General Counsel and Secretary</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260" w:type="dxa"/>
            <w:vAlign w:val="bottom"/>
          </w:tcPr>
          <w:p>
            <w:pPr>
              <w:spacing w:after="0"/>
              <w:rPr>
                <w:sz w:val="20"/>
                <w:szCs w:val="20"/>
                <w:color w:val="auto"/>
              </w:rPr>
            </w:pPr>
            <w:r>
              <w:rPr>
                <w:rFonts w:ascii="Arial" w:cs="Arial" w:eastAsia="Arial" w:hAnsi="Arial"/>
                <w:sz w:val="18"/>
                <w:szCs w:val="18"/>
                <w:color w:val="auto"/>
              </w:rPr>
              <w:t>57</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Vice President — Government Systems</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Zlogar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 Commercial Networks</w:t>
            </w:r>
          </w:p>
        </w:tc>
      </w:tr>
    </w:tbl>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(TrellisWare), a majority-owned subsidiary of ViaSat that develops advanced signal processing technologies for communication applications, and serves on the board of Minnetronix, Inc., a privately-held medical device and design company.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Richard Baldridge </w:t>
      </w:r>
      <w:r>
        <w:rPr>
          <w:rFonts w:ascii="Arial" w:cs="Arial" w:eastAsia="Arial" w:hAnsi="Arial"/>
          <w:sz w:val="18"/>
          <w:szCs w:val="18"/>
          <w:color w:val="auto"/>
        </w:rPr>
        <w:t>joined ViaSat in April 1999 as Vice President and Chief Financial Officer. From September 2000 to August 2002, Mr. Baldridge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Executive Vice President, Chief Operating Officer and Chief Financial Officer. He currently serves as President and Chief Operating Officer of ViaSat. In addition,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Mr. Baldridge serves as a director of Ducommun Incorporated, a provider of engineering and manufacturing services to the aerospace and defense industries, and CommNexus San Diego, a non-profit technology industry association.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Bruce Dirks </w:t>
      </w:r>
      <w:r>
        <w:rPr>
          <w:rFonts w:ascii="Arial" w:cs="Arial" w:eastAsia="Arial" w:hAnsi="Arial"/>
          <w:sz w:val="16"/>
          <w:szCs w:val="16"/>
          <w:color w:val="auto"/>
        </w:rPr>
        <w:t>joined ViaSat in April 2013 as Vice President and Chief Financial Officer. Mr. Dirks served as a portfolio manager at Fidelity Management &amp;</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Company from 2000 to April 2013. Prior to joining Fidelity, Mr. Dirks was Vice President – Investments at TRW Investment Management Company from 1993 to 2000. Mr. Dirks began his career at Raytheon Company as a financial analyst and also worked on the corporate finance team at General Dynamics Corporation. Mr. Dirks earned a B.A. degree in Economics from Amherst College and an M.B.A. degree from the University of Chicago.</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 Controller. She assumed 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position as Vice President — Corporate Controller and Chief Accounting Officer in April 2012. From August 2012 until April 2013, Ms. Duffy also served as interim Chief Financial Officer.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Stephen Estes </w:t>
      </w:r>
      <w:r>
        <w:rPr>
          <w:rFonts w:ascii="Arial" w:cs="Arial" w:eastAsia="Arial" w:hAnsi="Arial"/>
          <w:sz w:val="16"/>
          <w:szCs w:val="16"/>
          <w:color w:val="auto"/>
        </w:rPr>
        <w:t>first became part of the ViaSat team with the acquisition of several commercial divisions of Scientific-Atlanta in April 2000. Mr. Estes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and General Manager of the Antenna Systems group from 2000 to 2003. From 2003 to 2005, he served as a co-founder of an entrepreneurial startup. In September 2005, Mr. Estes rejoined ViaSat as Vice President — Human Resources, and during fiscal year 2012 assumed the position of Vice President — Government Systems and Human Resources. In May 2013, he assumed his current position of Vice President — Enterprise Services. Mr. Estes began his career as an electrical design engineer, moving into various management positions in engineering, program management, sales and marketing, and general management for companies that included Scientific-Atlanta, Loral (now part of L-3 Communications), and AEL Cross Systems (now part of BAE Systems). Mr. Estes holds a B.S. degree in Mathematics from Brescia University, an Electrical Engineering degree from Georgia Tech and an M.B.A. degree from Georgia State University focused on finance and marketing.</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Kevin Harkenrider </w:t>
      </w:r>
      <w:r>
        <w:rPr>
          <w:rFonts w:ascii="Arial" w:cs="Arial" w:eastAsia="Arial" w:hAnsi="Arial"/>
          <w:sz w:val="16"/>
          <w:szCs w:val="16"/>
          <w:color w:val="auto"/>
        </w:rPr>
        <w:t>joined ViaSat in October 2006 as Director — Operations, served as Vice President — Operations from January 2007 until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2009, served as Vice President of ViaSat and Chief Operating Officer of ViaSat Communications Inc. from December 2009 to April 2011, and Senior Vice President — Infrastructure Operations from April 2011 to May 2012, when he assumed his current position as Senior Vice President — Broadband Services. Prior to joining ViaSat, Mr. Harkenrider served as Account Executive at Computer Sciences Corporation from 2002 through October 2006. From 1992 to 2001,</w:t>
      </w:r>
    </w:p>
    <w:p>
      <w:pPr>
        <w:spacing w:after="0" w:line="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1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Steven Hart </w:t>
      </w:r>
      <w:r>
        <w:rPr>
          <w:rFonts w:ascii="Arial" w:cs="Arial" w:eastAsia="Arial" w:hAnsi="Arial"/>
          <w:sz w:val="16"/>
          <w:szCs w:val="16"/>
          <w:color w:val="auto"/>
        </w:rPr>
        <w:t>is a founder of ViaSat and has served as Vice President and Chief Technical Officer since March 1993, assuming his current title of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 Engineering and Chief Technical Officer in May 2013. From 1986 through 1993, Mr. Hart served as Engineering Manager. Prior to joining ViaSat, Mr. Hart was a Staff Engineer and Manager at M/A-COM Linkabit from 1982 to 1986. Mr. Hart holds a B.S. degree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Mathematics from the University of Nevada, Las Vegas and a M.A. degree in Mathematics from the University of California, San Diego.</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Keven Lippert </w:t>
      </w:r>
      <w:r>
        <w:rPr>
          <w:rFonts w:ascii="Arial" w:cs="Arial" w:eastAsia="Arial" w:hAnsi="Arial"/>
          <w:sz w:val="16"/>
          <w:szCs w:val="16"/>
          <w:color w:val="auto"/>
        </w:rPr>
        <w:t>has served as Vice President — General Counsel and Secretary of ViaSat since April 2007, and as Associate General Counsel and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from May 2000 to April 2007.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has served as Vice President and Chief Technical Officer of ViaSat since March 1993 and as Engineering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1986. Prior to joining ViaSat, Mr. Miller was a Staff Engineer at M/A-COM Linkabit from 1983 to 1986. Mr. Miller holds a B.S.E.E. degree from the University of California, San Diego and an M.S.E.E. degree from the University of California, Los Angeles.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Ken Peterman </w:t>
      </w:r>
      <w:r>
        <w:rPr>
          <w:rFonts w:ascii="Arial" w:cs="Arial" w:eastAsia="Arial" w:hAnsi="Arial"/>
          <w:sz w:val="16"/>
          <w:szCs w:val="16"/>
          <w:color w:val="auto"/>
        </w:rPr>
        <w:t>joined ViaSat in April 2013 as Vice President — Government Systems. Mr. Peterman has over 30 years of experience in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systems engineering, strategic planning, portfolio management, and business leadership in the aerospace and defense industries. From July 2012 to April 2013, Mr. Peterman served as President and Chief Executive Officer of SpyGlass Group, a company he co-founded which provides executive strategic advisory services to the aerospace and defense industries. From 2011 to July 2012, Mr. Peterman served as President of Exelis Communications and Force Protection Systems, and from 2007 to 2011, he served as President of ITT Communications Systems, which are both developers and providers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John Zlogar </w:t>
      </w:r>
      <w:r>
        <w:rPr>
          <w:rFonts w:ascii="Arial" w:cs="Arial" w:eastAsia="Arial" w:hAnsi="Arial"/>
          <w:sz w:val="16"/>
          <w:szCs w:val="16"/>
          <w:color w:val="auto"/>
        </w:rPr>
        <w:t>joined ViaSat in April 2000 as part of ViaSat’s acquisition of several commercial divisions of Scientific-Atlanta. From 2003 to 2011, he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and General Manager of ViaSat’s Antenna Systems group. Since August 2011, he has served as Vice President — Commercial Networks. During his career, Mr. Zlogar has held various management positions in engineering, program management, business development, and general management. Mr. Zlogar holds a B.S.E.E. degree from Pennsylvania State University and an M.S.E.E. degree from Stanford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subscriber addition and churn rates for our consumer broadband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wholesale and retail subscriber additions in our consumer broadband business;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investments in the construction or acquisition of satellites, and the impact of any construction or launch delays, operational failures or other disruptions to our satellites;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complex and lengthy procurement process for most of our commercial networks and government systems customers and potential customers;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of the foregoing factors, or any other factors discussed elsewhere herein, could have a material adverse effect on our business, results of operations and financial condition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We utilize capacity on our ViaSat-1 and WildBlue-1 satellites, on Telesat Canada’s Anik F2 satellite and on SES WorldSkies’ AMC-15 satellite to support our broadband services in the United States. We also lease capacity on multiple satellites related to the provision of our international mobile broadband services to commercial and government customers. We may construct, acquire or use one or more additional satellites in the future.</w:t>
      </w:r>
    </w:p>
    <w:p>
      <w:pPr>
        <w:spacing w:after="0" w:line="14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Satellites utilize highly complex technology and operate in the harsh environment of space and, accordingly, are subject to significant operational risks while in orbit. These risks include malfunctions (commonly referred to as anomalies),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62" w:lineRule="exact"/>
        <w:rPr>
          <w:sz w:val="20"/>
          <w:szCs w:val="20"/>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ability to earn revenue from our satellite services depends on the continued operation of ViaSat-1, WildBlue-1, Anik F2 and any other satellite we may acquire or use in the future, such as ViaSat-2.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ViaSat-1, ViaSat-2 or any other satellite we may own or acquire in the future prior to the end of its life.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currently hold in-orbit insurance for ViaSat-1, WildBlue-1 and Anik F2. We also intend to seek launch and in-orbit insurance for ViaSat-2 and any other satellite we may acquire in the future. However, we may not be able to obtain insurance, or renew existing insurance, on reasonable economic terms or at all. If we are able to obtain or renew our insurance, it may contain customary exclusions, exclusions for past satellite anomalies and will not likely cover the full cost of constructing and launching or replacing the satellites, nor will it cover lost profits, business interruptions, fixed operating expenses or similar losses. In addition, the occurrence of any anomalies on other satellites, including other Ka-band satellites, or any failures of a satellite using similar components or failures of a similar launch vehicle to any launch vehicle we intend to use for any future satellite (including ViaSat-2), may materially adversely affect our ability to insure the satellites at commercially reasonable premiums or terms, if at all.</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Any insurance proceeds will not fully cover our losses in the event of a satellite failure or significant degradation. For example, the policies covering the insured satellites do not cover the full cost of constructing, launching and insuring new satellites, nor will they cover, and we do not have protection against, lost profits,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business interruptions, fixed operating expenses, loss of business or similar losses.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or Proposed Satellites Are Subject to Significant Risks Related to Construction and Launch that Could Limit Our Ability to Utilize these Satellites</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2013, we entered into a satellite construction contract for ViaSat-2, our second high-capacity Ka-band satellite, which is currently under construction. We may construct and launch one or more additional satellites in the future. The design and construction of satellites require significant investments of capital and management time. Satellite construction and launch are also subject to significant risks, including construction delays, cost overruns, regulatory conditions or delays, unavailability of launch opportunities, launch failure, damage or destruction during launch and improper orbital placement. We have in the past experienced delays in satellite construction and launch which have adversely affected our operations. Future delays may have the same effect. A significant delay in the delivery of ViaSat-2 or any other future satellite may also adversely affect our business plan for the satellite. If satellite construction schedules are not met, a launch opportunity may not be available at the time the satellite is ready to be launched. The failure to implement our satellite deployment plan on schedule could have a material adverse effect on our business, financial condition and results of operations.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 Launch Failure or Other Satellite Damage or Destruction During Launch, or the Failure of a New Satellite to Achieve its Designated Orbital Location After Launch Could Result in a Total or Partial Satellite Loss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Satellites are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5% but could at any time be higher. Launch vehicles may also under-perform, in which case the satellite may still be able to be placed into service by using its onboard propulsion systems to reach the desired orbital location, but this would cause a reduction in its useful life.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 Broadband Services Business Strategy May Not Succeed in the Long Term</w:t>
      </w:r>
    </w:p>
    <w:p>
      <w:pPr>
        <w:spacing w:after="0" w:line="96"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A major element of our satellite broadband services business strategy is to utilize ViaSat-1, ViaSat-2 and any additional satellites we may construct or acquire in the future to continue to expand our provision of retail and wholesale satellite broadband services. We may be unsuccessful in implementing our business plan for our satellite broadband services business, or we may not be able to achieve the revenue that we expect from our satellite broadband services business. One of our principal competitors in satellite broadband launched a new satellite and initiated a service that competes with our Exede broadband services. Any failure to realize our anticipated benefits of ViaSat-2, to attract a sufficient number of distributors or customers for our Exede service, to grow our customer base for satellite broadband services as quickly as we anticipate, may have a material adverse effect on our business, financial condition or results of operations.</w:t>
      </w:r>
    </w:p>
    <w:p>
      <w:pPr>
        <w:spacing w:after="0" w:line="14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have incurred higher operating costs in connection with the late fiscal year 2012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operating costs included costs associated with depreciation, gateway connectivity, subscriber acquisition costs, logistics, customer care and various support systems. These additional operating costs attributed to our Exede service commencement have negatively impacted income from operations during recent fiscal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However, as the total number of subscribers of our Exede broadband services increased, the resultant increase in service revenues in our satellite services segment has improved income (loss) from operations for that segment over time, despite the additional litigation expense we have incurred to protect our proprietary technology. Nonetheless, there can be no assurance that the number of subscribers of our Exede broadband services and service revenues in our satellite services segment will continue to increase. We also expect to continue to invest in subscriber acquisition costs during fiscal year 2015 as we further expand our subscriber base as well as make additional investments for the construction of ViaSat-2. If our business strategy for our satellite services segment does not succeed, we may be unable to recover our significant investments in ViaSat-1 and ViaSat-2, which could have a material adverse impact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Governmental authorizations are required in connection with the products and services that we provide. In order to maintain these authorizations, compliance with specific conditions of those authorizations, certain laws and regulations, and the payment of annual regulatory fees may be required. Failure to comply with such requirements, or comply in a timely manner, could lead to the loss of such authorizations and could have a material adverse impact on our business, financial condition or results of operations. We currently hold authorizations to, among other things, operate various satellite earth stations (including but not limited to user terminals, “gateway” facilities, and network hubs) and operate satellite space stations and/or use those space stations to provide service to certain jurisdictions. While we anticipate that these authorizations will be renewed in the ordinary course to the extent that they otherwise would expire, or replaced by authorizations covering more advanced facilities, we can provide no assurance that this will be the case. The inability to timely obtain required authorizations for future operations could delay or preclude our provision of new products and services. Further, changes to the regulations under which we operate could adversely affect our ability to obtain or maintain authorizations. Either circumstance could have a material adverse impact on our business.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Our ViaSat-1 satellite operates in an orbital slot under authority granted to ManSat Limited by the governments of the Isle of Man and the United Kingdom (as well as authority from the FCC), and pursuant to contractual arrangements we have with ManSat Limited that extend past the expected useful life of ViaSat-1.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authorizations for these orbital slots with foreign governmental authorities. The use of these spacecraft in our business is subject to various conditions in the underlying authorizations held by us, ManSat Limited and Telesat Canada, as well as the technical and operational requirements of the rules and regulations of those jurisdictions. ViaSat-2 is expected to operate in an orbital slot under the authority of the United Kingdom. Any failure to meet these FCC or foreign government conditions, maintain our contractual arrangements or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w:t>
      </w:r>
    </w:p>
    <w:p>
      <w:pPr>
        <w:spacing w:after="0" w:line="196"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Regulatory Environment Could Have a Material Adverse Impact on Our Competitive Position, Growth and Financial Performance</w:t>
      </w:r>
    </w:p>
    <w:p>
      <w:pPr>
        <w:spacing w:after="0" w:line="11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provision of wireless and satellite communications and secure networking products and services is highly regulated. Our business is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 communications systems and networking infrastructure. We cannot predict when or whether applicable laws or regulations may come into effect or change, or what the cost and time necessary to comply with such new or updated laws or regulations may be. Failure to comply with applicable laws or regulations could result in the imposition of financial penalties against us, the adverse modification or cancellation of required authorizations, or other material adverse actions.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Laws and regulations affecting the wireless and satellite communications and secure networking industries are subject to change in response to industry developments, new technology, and political considerations. Legislators and regulatory authorities in various countries are considering, and may in the future adopt, new laws, policies and regulations, as well as changes to existing regulations, regarding a variety of matters that could, directly or indirectly, affect our operations or the operations of our distribution partners, increase the cost of providing our products and services and make our products less competitive in our core markets. For example, in November 2011, the FCC adopted an order establishing a new universal service funding mechanism to support the provision of voice and broadband services in certain high-cost areas of the United States, to be known as the CAF. Among other things, the new CAF mechanism would grant incumbent wireline carriers rights of first refusal allowing them to secure the vast majority of available support, to the exclusion of competitive service providers. Satellite broadband providers would be eligible for much more limited funding, which may place us at a competitive disadvantage in the provision of broadband services in rural areas. The CAF mechanism has not yet been fully implemented, and the FCC has sought further public comment with respect to certain details of implementation. Moreover, the FCC order establishing the CAF is the subject of pending petitions for reconsideration filed with the FCC, as well as pending judicial appeals. As such, it is uncertain how and when the CAF will be implemented, and how such implementation could impact satellite broadband providers. If the CAF, as implemented, were to give incumbents a competitive advantage in providing broadband services in supported areas, this could have a material adverse effect on our business, financial condition and results of operations.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August 2012, the SEC adopted disclosure rules regarding a company’s use of conflict minerals in their products, with substantial supply chain verification requirements in the event that the conflict minerals come from, or could have come from, the Democratic Republic of the Congo or adjoining countries. These new rules and verification requirements will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could harm our reputation.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to laws and regulations could materially harm our business by (1) affecting our ability to obtain or retain required governmental authorizations,</w:t>
      </w:r>
    </w:p>
    <w:p>
      <w:pPr>
        <w:spacing w:after="0" w:line="38" w:lineRule="exact"/>
        <w:rPr>
          <w:sz w:val="20"/>
          <w:szCs w:val="20"/>
          <w:color w:val="auto"/>
        </w:rPr>
      </w:pPr>
    </w:p>
    <w:p>
      <w:pPr>
        <w:jc w:val="both"/>
        <w:ind w:right="80" w:firstLine="8"/>
        <w:spacing w:after="0" w:line="302"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Changes in, or our failure to comply with, applicable laws and regulations could materially harm our business and impair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government systems segment revenues were approximately 42%, 47% and 45% of our total revenues in fiscal years 2014, 2013 and 2012, respectively, and were derived primarily from U.S. government applications. Therefore, any significant disruption or deterioration of our relationship with the U.S. government would significantly reduce our revenue. U.S. government business exposes us to various risks, including:</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governmental procurement legislation and regulations and other policies, which may reflect military and political developments;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reduction in the value of our contracts as a result of the routine audit and investigation of our costs by U.S. government agencies;</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intense competition for available U.S. government business necessitating increases in time and investment for design and development.</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18"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incurred cost audits by the DCAA have not been concluded for fiscal year 2004 and subsequent fiscal years. Although we have recorded contract revenues subsequent to fiscal year 2003 based upon an estimate of costs that we believe will be approved upon final audit or review, we do not know the outcome of any ongoing or future audits or reviews and adjustments, and if future adjustments exceed our estimates, our profitability would be adversely affected. For example, in the fourth quarter of fiscal year 2011, based on communications with the DCMA, changes in the regulatory environment for federal government contractors, the status of current government audits and other events, we recorded an additional $5.0 million in contract-related reserves for our estimate of potential refunds to customers for possible cost adjustments on several multi-year U.S. government cost reimbursable contracts. There can be no assurance that audits or reviews of our incurred costs and cost accounting systems for other fiscal years will not be subject to further audit, review or scrutiny by the DCAA or other government agencies.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Our Success Depends on the Investment in and Development of New Satellite and Wireless Communications and Secure Networking Products and Services and Our Ability to Gain Acceptance of these Products and Services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wireless and satellite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satellite and wireless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62" w:lineRule="exact"/>
        <w:rPr>
          <w:sz w:val="20"/>
          <w:szCs w:val="20"/>
          <w:color w:val="auto"/>
        </w:rPr>
      </w:pPr>
    </w:p>
    <w:p>
      <w:pPr>
        <w:ind w:left="900" w:right="1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increasing service quality and adding innovative features that differentiate our offerings from those of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cannot assure you that our new technology, product or service offerings will be successful or that any of the new technologies, products or services we offer will achieve sufficient market acceptance.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 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believe that significant investments in next generation broadband satellites and associated infrastructure will be required for satellite-based technologies to compete more effectively with terrestrial-based technologies in the consumer and enterprise markets. We are constantly evaluating the opportunities and investments related to the development of these next generation broadband systems. The development of these capital-intensive next 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 generation technologies, it could materially harm our business, financial condition and results of operations, and impair the value of our common stock.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 reduction in backlog and market share, increased service and warranty costs, diversion of development resources, legal actions by our customers, product returns or recalls, issuance of credit to customers and increased insurance costs. Further, due to the high volume nature of our consumer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and Business Could Be Materially Harmed as a Result of Data Breaches, Data Theft, Unauthorized Access or Hacking</w:t>
      </w:r>
    </w:p>
    <w:p>
      <w:pPr>
        <w:spacing w:after="0" w:line="96"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Our success depends, in part, on the secure and uninterrupted performance of our information technology systems.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small number of our contracts account for a significant percentage of our revenues. Our five largest contracts generated approximately 26%, 24% and 20% of our total revenues in fiscal years 2014, 2013 and 2012, respectively. Our largest revenue producing contracts are related to our government satellite communication systems and services and tactical data links products.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are often party to government and commercial contracts involving the development of new products. We derived approximately 31%, 26% and 26% of our total revenues in fiscal years 2014, 2013 and 2012, respectively,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Of our total government systems and commercial networks segments revenues, approximately 92%, 94% and 93% were derived from contracts with fixed prices in fiscal years 2014, 2013 and 2012,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internal manufacturing capacity is limited and we do not intend to expand our capability in the foreseeable future. We rely on a limited number of contract manufacturers to produce our products and expect to rely increasingly on these manufacturers in the future. In addition, some components, subassemblies and services necessary for the manufacture of our products are obtained from a sole source supplier or a limited group of suppliers.</w:t>
      </w:r>
    </w:p>
    <w:p>
      <w:pPr>
        <w:spacing w:after="0" w:line="10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We Serve Are Highly Competitive and Our Competitors May Have Greater Resources than Us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wireless and satellite communications and secure networking industries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In our satellite services and commercial networks segments, we compete with ASC Signal, Astrium, AT&amp;T, CenturyLink, Clearwire, Comtech, DISH Network, Earthlink, Frontier, General Dynamics, Gilat, EchoStar (Hughes Network Systems), iDirect Technologies, Inmarsat, L-3 Communications, Newtec, Panasonic, Row 44, SS/L, Thales, Verizon and Zodiac Data Systems each of which offers a broad range of satellite or terrestrial communications products and services, and with other internet service providers in areas where such competing services are available. Within our government systems segment, we generally compete with manufacturers of defense electronics products, systems or subsystems, such as BAE Systems, General Dynamics, Harris, L-3 Communications, Rockwell Collins and similar companies. The overall number of our competitors may increase, and the identity and composition of competitors may change. As we continue to expand globally, we may see new competition in different geographic regions. Many of our competitors and potential competitors have significant competitive advantages, including strong customer relationships, more experience with regulatory compliance, greater financial and management resources and access to technologies not available to us. In addition, our satellite services segment faces increasing competition as a result of industry consolidation and vertical integration, which enables our competitors to provide competing services to broader customer segments or to offer bundled service offerings that we are not able to duplicate, or which may reduce demand for our wholesale broadband internet services. For example, certain of our competitors have developed or are developing products that will compete directly with our ViaSat-1 based Exede broadband services. In addition, some of our customers continuously evaluate whether to develop and manufacture their own products and could elect to compete with us at any time. Our ability to compete may be adversely affected by limits on our capital resources and our ability to invest in maintaining and expanding our market share.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4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 significant amount of indebtedness. As of April 4, 2014, our total outstanding indebtedness was $682.8 million, which included $575.0 million in principal amount of 6.875% Senior Notes due 2020 (2020 Notes), $105.0 million in principal amount of outstanding borrowings under our revolving credit facility (the Credit Facility) and $2.8 million of other obligations.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50"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to the extent we make borrowings under our Credit Facility, which bear interest at a variable rate;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incur significant additional indebtedness in the future, which may include financing relating to ViaSat-2 or future satellites, potential acquisitions, working capital, capital expenditures or general corporate purposes. As of April 4, 2014, we had undrawn availability of $355.5 million under our Credit Facility. In addition, our Credit Facility and the indenture governing the 2020 Notes permit us, subject to specified limitations, to incur additional indebtedness.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new indebtedness is added to our current level of indebtedness, the related risks that we now face could intensify.</w:t>
      </w:r>
    </w:p>
    <w:p>
      <w:pPr>
        <w:spacing w:after="0" w:line="193"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ability to make scheduled payments on or to refinance our indebtedness will depend upon our future operating performance and on our ability to generate cash flow in the future, which is subject to general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economic, financial, business, competitive, legislative, regulatory and other factors that are beyond our control. We cannot assure you that our business will generate sufficient cash flow from operations, or that future borrowings, including borrowings under our Credit Facility, will be available to us in an amount sufficient to enable us to pay our indebtedness, or to fund our other liquidity needs. 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Facility and the indenture governing the 2020 Notes restrict our ability to dispose of assets and use the proceeds from the disposition, and may also restrict our ability to raise debt or equity capital to repay or service our indebtedness. If we cannot make scheduled payments on our debt, we will be in default and, as a result, the lenders under our Credit Facility and the holders of the 2020 Notes could declare all outstanding principal and interest to be due and payable, the lenders under our Credit Facility could terminate their commitments to loan money and foreclose against the assets securing the borrowings under our Credit Facility, and we could be forced into bankruptcy or liquidation, which could result in you losing your investment in our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need to refinance all or a portion of our indebtedness before maturity, including the 2020 Notes and any indebtedness under our Credit Facility. There can be no assurance that we will be able to obtain sufficient funds to enable us to repay or refinance our debt obligations on commercially reasonable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Credit Facility and the indenture governing the 2020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Facility, our ability to borrow under our Credit Facility may be restricted. The Credit Facility and the indenture governing the 2020 Notes include covenants restricting, among other things, our ability to do the following:</w:t>
      </w:r>
    </w:p>
    <w:p>
      <w:pPr>
        <w:spacing w:after="0" w:line="3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our Credit Facility requires us to comply with certain financial covenants, including a maximum total leverage ratio and minimum interest coverage ratio. Our Credit Facility is secured by first-priority liens on substantially all of the assets of our company, including the stock of our subsidiaries, and the assets of the subsidiary guarantors under our Credit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default under our Credit Facility or the indenture governing the 2020 Notes because of a covenant breach or otherwise, all outstanding amounts thereunder could become immediately due and payable. In the past we have violated the covenants in our former revolving credit facilities and received waivers for these violations. We cannot assure you that we will be able to comply with our financial or other covenants under our Credit Facility or the indenture governing the 2020 Notes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Facility to suspend commitments to make any advance or to require any outstanding letters of credit to be collateralized by an interest bearing cash account, any or all of which could have a material adverse effect on our business, financial condition and results of operations. We cannot assure you that we would have sufficient funds to repay all the outstanding amounts under our Credit Facility or the indenture governing the 2020 Notes, and any acceleration of amounts due would have a material adverse effect on our liquidity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Global Business Environment and Economic Conditions Could Negatively Affect Our Business, Results of Operations and Financial Condition</w:t>
      </w:r>
    </w:p>
    <w:p>
      <w:pPr>
        <w:spacing w:after="0" w:line="119"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consumer customer base in our satellite services segment by reducing consumers’ discretionary income and affecting their ability to subscribe</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Any of these factors could result in reduced demand for, and pricing pressure on, our products and services, which could lead to a reduction in our revenues and adversely affect our business, financial condition and results of operations.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Approximately 23%, 25% and 21% of our total revenues in fiscal years 2014, 2013 and 2012, respectively, were derived from international sales.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unexpected changes in laws, policies and regulatory requirements, including but not limited to regulations related to import-export control;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sales and marketing and research and development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Our success depends significantly on our ability to protect our proprietary rights to the technologies we use in our products and services. We generally rely on a combination of copyrights, patents, trademarks and trade secret laws and contractual rights to protect our intellectual property rights. We also enter into confidentiality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required to commence litigation to protect our intellectual property rights or to determine the validity and scope of the proprietary rights of others. For example, see “Legal Proceedings” in Item 3 for a discussion of certain patent infringement litigation relating to our satellites. If we are unsuccessful in any such litigation,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For example, see “Legal Proceedings” in Item 3 for a discussion of certain patent infringement litigation relating to our satellites.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to Successfully Integrate Strategic Acquisitions Could Adversely Affect Our Business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order to position ourselves to take advantage of growth opportunities, we have made, and may continue to make, strategic acquisitions that involve significant risks and uncertainties. These risks and uncertainties include:</w:t>
      </w:r>
    </w:p>
    <w:p>
      <w:pPr>
        <w:spacing w:after="0" w:line="51" w:lineRule="exact"/>
        <w:rPr>
          <w:sz w:val="20"/>
          <w:szCs w:val="20"/>
          <w:color w:val="auto"/>
        </w:rPr>
      </w:pPr>
    </w:p>
    <w:p>
      <w:pPr>
        <w:ind w:left="5620" w:right="3000" w:hanging="5045"/>
        <w:spacing w:after="0" w:line="440"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in integrating newly acquired businesses and operations in an efficient and effective manner; 34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our markets do not evolve as anticipated and the technologies acquired do not prove to be those needed to be successful in those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combining corporate cultures;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maintaining relationships with present and potential customers, distributors and suppliers of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the acquired business;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as well as maintaining uniform standards, controls (including internal accounting controls), procedures and policies;</w:t>
      </w:r>
    </w:p>
    <w:p>
      <w:pPr>
        <w:spacing w:after="0" w:line="59"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the returns on acquisitions will not support the expenditures or indebtedness incurred to acquire such businesses or the capital expenditures needed to develop such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complete future acquisitions we may issue equity securities, incur debt, assume contingent liabilities or have amortization expenses and write-downs of acquired assets, which could cause our earnings per share to decline. Mergers and acquisitions are inherently risky and subject to many factors outside of our control, and we cannot be certain that our previous or future acquisitions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also issue additional shares of common stock to finance future acquisitions through the use of equity. For example, during the third quarter of fiscal year 2010 we issued approximately 4.29 million shares of our common stock to former WildBlue equity and debt holders in connection with our acquisition of WildBlue Holding, Inc.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market price of our common stock has been volatile in the past. For example, since April 1, 2011 the market price of our common stock has ranged from $31.18 to $74.78. Trading prices may continue to fluctuate in response to a number of events and factors, including the following:</w:t>
      </w:r>
    </w:p>
    <w:p>
      <w:pPr>
        <w:spacing w:after="0" w:line="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9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Our Executive Officers and Directors Own a Large Percentage of Our Common Stock and Exert Significant Influence over Matters Requiring Stockholder Approval</w:t>
      </w:r>
    </w:p>
    <w:p>
      <w:pPr>
        <w:spacing w:after="0" w:line="45"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As of May 9, 2014, our executive officers and directors and their affiliates beneficially owned an aggregate of approximately 10% of our common stock. Accordingly, these stockholders may be able to substantially influence all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Implemented Anti-Takeover Provisions that Could Prevent an Acquisition of Our Business at a Premium Price</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Section 203 of the Delaware General Corporation Law imposes restrictions on mergers and other business combinations between us and any holder of 15% or more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400" w:firstLine="456"/>
        <w:spacing w:after="0" w:line="286" w:lineRule="auto"/>
        <w:rPr>
          <w:sz w:val="20"/>
          <w:szCs w:val="20"/>
          <w:color w:val="auto"/>
        </w:rPr>
      </w:pPr>
      <w:r>
        <w:rPr>
          <w:rFonts w:ascii="Arial" w:cs="Arial" w:eastAsia="Arial" w:hAnsi="Arial"/>
          <w:sz w:val="16"/>
          <w:szCs w:val="16"/>
          <w:color w:val="auto"/>
        </w:rPr>
        <w:t>Our worldwide headquarters are located at our Carlsbad, California campus, consisting of approximately 538,000 square feet under various leases. In addition to our Carlsbad campus, we have facilities under various leases consisting of approximately: (1) 20,000 square feet in San Diego, California,</w:t>
      </w:r>
    </w:p>
    <w:p>
      <w:pPr>
        <w:ind w:right="20" w:firstLine="8"/>
        <w:spacing w:after="0" w:line="290"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113,000 square feet in Englewood, Colorado, (3) 176,000 square feet in Duluth, Georgia, (4) 69,000 square feet in Germantown, Maryland, (5) 58,000 square feet in Gilbert, Arizona, and (6) 34,000 square feet in Cleveland, Ohio. We also maintain offices or a sales presence in Arlington (Virginia), Boston (Massachusetts), Linthicum Heights and Aberdeen (Maryland), Tampa (Florida), Australia, China, Italy, Switzerland and the United Kingdom, and operate twenty-four gateway ground station locations to support our satellite broadband services business across the United States and Canada. Although we believe that our existing facilities are suitable and adequate for our present purposes, we anticipate operating additional regional sales offices in fiscal year 2015 and beyond. Each of our segments uses each of these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2012, we filed a complaint against SS/L and its former parent company Loral Space &amp; Communications, Inc. (Loral) in the United States District Court for the Southern District of California for patent infringement and breach of contract relating to the manufacture of ViaSat-1. We alleged, among other things, that SS/L and Loral infringed U.S. Patent Nos. 8,107,875, 8,010,043, 8,068,827 and 7,773,942 by making, using, offering to sell and/or selling other high-capacity broadband satellites, and requested monetary damages, injunctive relief and other remedies. On December 17, 2013, we voluntarily dismissed our claims against SS/L under U.S. Patent No. 7,773,942.</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June 15, 2012, SS/L filed counterclaims against us for patent infringement and declaratory relief. Specifically, SS/L sought a declaration that SS/L did not breach the parties’ contract for the manufacture of ViaSat-1, that SS/L did not infringe the patents described above, and that those patents are invalid and/or unenforceable. SS/L also alleged that we infringed U.S. Patent Nos. 6,879,808, 6,400,696 and 7,219,132. On November 13, 2013, the Court granted summary judgment of non-infringement of U.S. Patent No. 6,879,808 in favor of ViaSat. On December 17, 2013, SS/L dismissed its claims against ViaSat under U.S. Patent No. 7,219,132. A jury trial on the remaining claims began on March 25, 2014.</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Subsequent to the fiscal year end, on April 24, 2014, a federal court jury returned a verdict in our favor, finding that our patents are valid, SS/L infringed all of our patents, and SS/L breached the parties’ non-disclosure agreement and the manufacturing contract for the ViaSat-1 satellite. The jury awarded us $283.0 million in damages for patent infringement and breach of contract. The damages award is subject to post-trial motions and appeal. We intend to seek a permanent injunction preventing SS/L from continuing to infringe our patents and using our intellectual property. During the trial, SS/L chose not to pursue its claim against us for infringing U.S. Patent No. 6,400,696. We intend to seek a judgment of non-infringement from the court with respect to that patent.</w:t>
      </w:r>
    </w:p>
    <w:p>
      <w:pPr>
        <w:spacing w:after="0" w:line="1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September 5, 2013, we filed a complaint against SS/L in the United States District Court for the Southern District of California for patent infringement and breach of contract relating to SS/L’s continued use of ViaSat’s patented technology and intellectual property in the manufacture of high-capacity broadband satellites. We allege, among other things, that SS/L infringed U.S. Patent Nos. 7,230,908, 7,684,368, 8,213,929, 8,254,832, 8,285,202 and 8,548,377 by making, using, offering to sell and/or selling other high-capacity broadband satellites. We have requested monetary damages, injunctive relief and other remedies.</w:t>
      </w:r>
    </w:p>
    <w:p>
      <w:pPr>
        <w:spacing w:after="0" w:line="9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2013</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$48.88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40.74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Fiscal 2014</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73.35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74.78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May 9, 2014, there were approximately 1,595 holders of record of our common stock. A substantially greater number of holders of ViaSat common stock are “street name” or beneficial holders, whose shares are held of record by banks, brokers and other financial institutions.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subject to any applicable restrictions under our debt and credit agreements, and will be dependent upon our financial condition, results of operations, capital requirements, general business condition and such other factors as the Board of Directors may deem relevant.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provides our selected financial information for each of the fiscal years in the five-year period ended April 4, 2014. The data as of and for each of the fiscal years in the five-year period ended April 4, 2014 have been derived from our audited consolidated financial statements.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Fiscal Years Ended</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March 29,</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March 30,</w:t>
            </w:r>
          </w:p>
        </w:tc>
        <w:tc>
          <w:tcPr>
            <w:tcW w:w="80" w:type="dxa"/>
            <w:vAlign w:val="bottom"/>
          </w:tcPr>
          <w:p>
            <w:pPr>
              <w:spacing w:after="0"/>
              <w:rPr>
                <w:sz w:val="11"/>
                <w:szCs w:val="11"/>
                <w:color w:val="auto"/>
              </w:rPr>
            </w:pPr>
          </w:p>
        </w:tc>
        <w:tc>
          <w:tcPr>
            <w:tcW w:w="12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6"/>
              </w:rPr>
              <w:t>April 1,</w:t>
            </w:r>
          </w:p>
        </w:tc>
        <w:tc>
          <w:tcPr>
            <w:tcW w:w="80" w:type="dxa"/>
            <w:vAlign w:val="bottom"/>
          </w:tcPr>
          <w:p>
            <w:pPr>
              <w:spacing w:after="0"/>
              <w:rPr>
                <w:sz w:val="11"/>
                <w:szCs w:val="11"/>
                <w:color w:val="auto"/>
              </w:rPr>
            </w:pPr>
          </w:p>
        </w:tc>
        <w:tc>
          <w:tcPr>
            <w:tcW w:w="72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gridSpan w:val="9"/>
          </w:tcPr>
          <w:p>
            <w:pPr>
              <w:jc w:val="center"/>
              <w:ind w:right="58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785,738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664,417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523,938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584,074</w:t>
            </w:r>
          </w:p>
        </w:tc>
        <w:tc>
          <w:tcPr>
            <w:tcW w:w="0" w:type="dxa"/>
            <w:vAlign w:val="bottom"/>
          </w:tcPr>
          <w:p>
            <w:pPr>
              <w:spacing w:after="0"/>
              <w:rPr>
                <w:sz w:val="1"/>
                <w:szCs w:val="1"/>
                <w:color w:val="auto"/>
              </w:rPr>
            </w:pPr>
          </w:p>
        </w:tc>
      </w:tr>
      <w:tr>
        <w:trPr>
          <w:trHeight w:val="216"/>
        </w:trPr>
        <w:tc>
          <w:tcPr>
            <w:tcW w:w="5380" w:type="dxa"/>
            <w:vAlign w:val="bottom"/>
          </w:tcPr>
          <w:p>
            <w:pPr>
              <w:ind w:left="880"/>
              <w:spacing w:after="0"/>
              <w:rPr>
                <w:sz w:val="20"/>
                <w:szCs w:val="20"/>
                <w:color w:val="auto"/>
              </w:rPr>
            </w:pPr>
            <w:r>
              <w:rPr>
                <w:rFonts w:ascii="Arial" w:cs="Arial" w:eastAsia="Arial" w:hAnsi="Arial"/>
                <w:sz w:val="18"/>
                <w:szCs w:val="18"/>
                <w:color w:val="auto"/>
              </w:rPr>
              <w:t>Service revenues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565,724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455,273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321,563</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278,268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104,006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1,351,462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1,119,690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863,627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802,206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688,080</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571,855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484,973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402,794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389,945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408,526</w:t>
            </w:r>
          </w:p>
        </w:tc>
        <w:tc>
          <w:tcPr>
            <w:tcW w:w="0" w:type="dxa"/>
            <w:vAlign w:val="bottom"/>
          </w:tcPr>
          <w:p>
            <w:pPr>
              <w:spacing w:after="0"/>
              <w:rPr>
                <w:sz w:val="1"/>
                <w:szCs w:val="1"/>
                <w:color w:val="auto"/>
              </w:rPr>
            </w:pPr>
          </w:p>
        </w:tc>
      </w:tr>
      <w:tr>
        <w:trPr>
          <w:trHeight w:val="216"/>
        </w:trPr>
        <w:tc>
          <w:tcPr>
            <w:tcW w:w="5380" w:type="dxa"/>
            <w:vAlign w:val="bottom"/>
          </w:tcPr>
          <w:p>
            <w:pPr>
              <w:ind w:left="880"/>
              <w:spacing w:after="0"/>
              <w:rPr>
                <w:sz w:val="20"/>
                <w:szCs w:val="20"/>
                <w:color w:val="auto"/>
              </w:rPr>
            </w:pPr>
            <w:r>
              <w:rPr>
                <w:rFonts w:ascii="Arial" w:cs="Arial" w:eastAsia="Arial" w:hAnsi="Arial"/>
                <w:sz w:val="18"/>
                <w:szCs w:val="18"/>
                <w:color w:val="auto"/>
              </w:rPr>
              <w:t>Cost of service revenues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419,425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363,188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233,187</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160,623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66,830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281,533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240,859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181,728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164,265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132,895</w:t>
            </w:r>
          </w:p>
        </w:tc>
        <w:tc>
          <w:tcPr>
            <w:tcW w:w="0" w:type="dxa"/>
            <w:vAlign w:val="bottom"/>
          </w:tcPr>
          <w:p>
            <w:pPr>
              <w:spacing w:after="0"/>
              <w:rPr>
                <w:sz w:val="1"/>
                <w:szCs w:val="1"/>
                <w:color w:val="auto"/>
              </w:rPr>
            </w:pPr>
          </w:p>
        </w:tc>
      </w:tr>
      <w:tr>
        <w:trPr>
          <w:trHeight w:val="216"/>
        </w:trPr>
        <w:tc>
          <w:tcPr>
            <w:tcW w:w="5380" w:type="dxa"/>
            <w:vAlign w:val="bottom"/>
          </w:tcPr>
          <w:p>
            <w:pPr>
              <w:ind w:left="88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60,736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35,448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24,992</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28,711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27,325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18,732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(20,362)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39,253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43,010</w:t>
            </w: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(37,903)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(8,247)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(26,501)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(6,053)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36,422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(25,947)</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(50,054)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(13,651)</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7,598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36,424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30,839</w:t>
            </w:r>
          </w:p>
        </w:tc>
        <w:tc>
          <w:tcPr>
            <w:tcW w:w="0" w:type="dxa"/>
            <w:vAlign w:val="bottom"/>
          </w:tcPr>
          <w:p>
            <w:pPr>
              <w:spacing w:after="0"/>
              <w:rPr>
                <w:sz w:val="1"/>
                <w:szCs w:val="1"/>
                <w:color w:val="auto"/>
              </w:rPr>
            </w:pPr>
          </w:p>
        </w:tc>
      </w:tr>
      <w:tr>
        <w:trPr>
          <w:trHeight w:val="208"/>
        </w:trPr>
        <w:tc>
          <w:tcPr>
            <w:tcW w:w="5380" w:type="dxa"/>
            <w:vAlign w:val="bottom"/>
          </w:tcPr>
          <w:p>
            <w:pPr>
              <w:ind w:left="440"/>
              <w:spacing w:after="0"/>
              <w:rPr>
                <w:sz w:val="20"/>
                <w:szCs w:val="20"/>
                <w:color w:val="auto"/>
              </w:rPr>
            </w:pPr>
            <w:r>
              <w:rPr>
                <w:rFonts w:ascii="Arial" w:cs="Arial" w:eastAsia="Arial" w:hAnsi="Arial"/>
                <w:sz w:val="18"/>
                <w:szCs w:val="18"/>
                <w:color w:val="auto"/>
              </w:rPr>
              <w:t>Less: Net income (loss) attributable to noncontrolling interest,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66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ViaSat,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36,115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31,136</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8"/>
                <w:szCs w:val="18"/>
                <w:color w:val="auto"/>
              </w:rPr>
              <w:t>Basic net (loss) income per share attributable to ViaSat,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66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Diluted net (loss) income per share attributable to ViaSat, Inc.</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8"/>
                <w:szCs w:val="18"/>
                <w:color w:val="auto"/>
              </w:rPr>
              <w:t>Shares used in computing basic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45,744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43,931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42,325</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40,858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33,020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used in computing diluted net (loss) income per share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44,226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43,059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58,347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172,583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40,490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256,795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297,725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327,110</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167,457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214,541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1,960,115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1,794,072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1,727,153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1,405,748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1,293,552</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Senior notes, net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583,861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584,993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547,791</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272,296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271,801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105,900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61,946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52,640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50,353</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23,842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941,012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887,975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840,125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753,005</w:t>
            </w:r>
          </w:p>
        </w:tc>
        <w:tc>
          <w:tcPr>
            <w:tcW w:w="0" w:type="dxa"/>
            <w:vAlign w:val="bottom"/>
          </w:tcPr>
          <w:p>
            <w:pPr>
              <w:spacing w:after="0"/>
              <w:rPr>
                <w:sz w:val="1"/>
                <w:szCs w:val="1"/>
                <w:color w:val="auto"/>
              </w:rPr>
            </w:pPr>
          </w:p>
        </w:tc>
      </w:tr>
      <w:tr>
        <w:trPr>
          <w:trHeight w:val="363"/>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94"/>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Fiscal year 2010 information presented reflects the acquisition of WildBlue in December of 2009 for approximately $574.6 million. Therefore, our consolidated statements of operations data for the fiscal years ended April 4, 2014, March 29, 2013, March 30, 2012 and April 1, 2011 are not comparable to our consolidated statements of operations data for the year ended April 2, 2010. In addition, our fiscal year 2013 information presented reflects the repurchase and redemption of our former 8.875% Senior Notes due 2016 (2016 Notes) and the associated approximately $26.5 million loss on extinguishment of debt. Refer to Note 5 to the consolidated financial statements for discussion of the repurchase and redemption of all of the 2016 Notes and loss on extinguishment of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operates in three segments: satellite services, commercial networks and government systems.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Our satellite services segment provides retail and wholesale satellite-based broadband services for our consumer, enterprise and mobile broadband customers primarily in the United States. Our Exede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 providers. In May 2013, we entered into a satellite construction contract for ViaSat-2, our second high-capacity Ka-band satellite.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8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Retail and wholesale broadband satellite services offered to consumers and small businesses under the Exede and WildBlue brands, which provide two-way satellite-based broadband internet access and VoIP. As of April 4, 2014, we provided broadband satellite services to approximately 641,000 subscribers.</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WiFi (including our flagship Exede In The Air service), live on-line event streaming, oil and natural gas data gathering services and high definition satellite news gathering.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right="2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government systems segment develops and produces network-centric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DoD, armed forces, public safety first-responders and remote government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60" w:hanging="325"/>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ISR and C2 missions, satellite networking services and global mobile broadband capability, and include products designed for manpacks, aircraft, UAVs, seagoing vessels, ground mobile vehicles and fixed applications.</w:t>
      </w:r>
    </w:p>
    <w:p>
      <w:pPr>
        <w:spacing w:after="0" w:line="62"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security and assurance products and secure networking solutions, which provide advanced, high-speed IP-based “Type 1” and HAIPE-compliant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Tactical data links, including MIDS terminals for military fighter jets and their successor, MIDS-JTRS terminals, “disposable” weapon data links and portable small tactical terminals.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92%, 94% and 93% of our total revenues for these segments for fiscal years 2014, 2013 and 2012,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and-materials contracts (which reimburse us for the number of labor hours expended at an established hourly rate negotiated in the contract, plus the cost of materials utilized in providing such products or services).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31%, 26% and 26% of our total revenues during fiscal years 2014, 2013 and 2012, respectively.</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5%, 3% and 3% of total revenues in fiscal years 2014, 2013 and 2012, respectively. As a government contractor, we are able to recover a portion of our IR&amp;D expenses pursuant to our government contracts.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2014, 2013 and 2012, we recorded losses of approximately $3.3 million, $3.1 million and $1.4 million, respectively, related to loss contracts.</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April 4, 2014 would change our loss before income taxes by approximately $0.7 million.</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 analysis of each satellite’s performance against the original manufacturer’s orbital design life, estimated fuel levels and related consumption rates, as well as historical satellite operating trends.</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and own related gateway and networking equipment on all of our satellites. Property and equipment also includes the CPE units leased to subscribers under a retail leasing program as part of our satellite services segment.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2014, 2013 and 2012.</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Furthermore, in addition to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the future revenue and operating costs, based primarily on existing firm orders, expected future orders, contracts with suppliers, labor resources and general market conditions. Based on a quantitative analysis for fiscal year 2014, we concluded that estimated fair values of our reporting units significantly exceed their respective carrying value.</w:t>
      </w:r>
    </w:p>
    <w:p>
      <w:pPr>
        <w:spacing w:after="0" w:line="14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2014, we concluded that it was more likely than not that the estimated fair value of our reporting units exceeded its carrying value as of April 4, 2014 and, therefore, determined it was not necessary to perform step two of the goodwill impairment test.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decreased from</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$16.0 million at March 29, 2013 to $12.8 million at April 4, 2014. The valuation allowance primarily relates to state net operating loss carryforwards and research and development credit carryforwards available to reduce state income taxes.</w:t>
      </w:r>
    </w:p>
    <w:p>
      <w:pPr>
        <w:spacing w:after="0" w:line="13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analysis of the need for a valuation allowance on deferred tax assets considered the losses incurred during the fiscal years ended April 4, 2014 and March 29, 2013. The loss from fiscal year 2013 was more significant and a substantial portion of such loss resulted from an extinguishment of debt charge that was recorded upon the refinancing of our former 2016 Notes with the proceeds from the issuance of additional 2020 Notes in October 2012, which provides a benefit to net income due to the lower interest rate of the 2020 Notes. Our evaluation considered other factors, including our history of positive earnings, current earnings trends assuming our satellite subscriber base continues to grow, taxable income adjusted for certain items, our contractual backlog, and forecasted income by jurisdiction. We also considered the lengthy period over which these net deferred tax assets can be realized, and our history of not having federal tax loss carryforwards expire unused. Based on our analysis of the need for a valuation allowance on deferred tax assets, we released $3.1 million of the valuation allowance during fiscal year 2014 which related primarily to state net operating loss carryforwards as a result of the combination of the merger of ViaSat Communications, Inc. into ViaSat and changes in the apportioned state tax rates.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1"/>
              </w:rPr>
              <w:t>Fiscal Years Ended</w:t>
            </w:r>
          </w:p>
        </w:tc>
        <w:tc>
          <w:tcPr>
            <w:tcW w:w="420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8"/>
              </w:rPr>
              <w:t>April 4,</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2"/>
              </w:rPr>
              <w:t>March 29,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9"/>
              </w:rPr>
              <w:t>March 30,</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4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87"/>
              <w:spacing w:after="0" w:line="148"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2"/>
              <w:spacing w:after="0" w:line="203" w:lineRule="exact"/>
              <w:rPr>
                <w:sz w:val="20"/>
                <w:szCs w:val="20"/>
                <w:color w:val="auto"/>
              </w:rPr>
            </w:pPr>
            <w:r>
              <w:rPr>
                <w:rFonts w:ascii="Arial" w:cs="Arial" w:eastAsia="Arial" w:hAnsi="Arial"/>
                <w:sz w:val="18"/>
                <w:szCs w:val="18"/>
                <w:color w:val="auto"/>
                <w:w w:val="94"/>
              </w:rPr>
              <w:t>100.0%</w:t>
            </w:r>
          </w:p>
        </w:tc>
        <w:tc>
          <w:tcPr>
            <w:tcW w:w="1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Product revenues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32"/>
              <w:spacing w:after="0"/>
              <w:rPr>
                <w:sz w:val="20"/>
                <w:szCs w:val="20"/>
                <w:color w:val="auto"/>
              </w:rPr>
            </w:pPr>
            <w:r>
              <w:rPr>
                <w:rFonts w:ascii="Arial" w:cs="Arial" w:eastAsia="Arial" w:hAnsi="Arial"/>
                <w:sz w:val="18"/>
                <w:szCs w:val="18"/>
                <w:color w:val="auto"/>
              </w:rPr>
              <w:t>59.3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Cost of service revenues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32"/>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32"/>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(loss) income attributable to ViaSat, Inc.</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6320" w:type="dxa"/>
            <w:vAlign w:val="bottom"/>
            <w:gridSpan w:val="5"/>
          </w:tcPr>
          <w:p>
            <w:pPr>
              <w:spacing w:after="0"/>
              <w:rPr>
                <w:sz w:val="20"/>
                <w:szCs w:val="20"/>
                <w:color w:val="auto"/>
              </w:rPr>
            </w:pPr>
            <w:r>
              <w:rPr>
                <w:rFonts w:ascii="Arial" w:cs="Arial" w:eastAsia="Arial" w:hAnsi="Arial"/>
                <w:sz w:val="18"/>
                <w:szCs w:val="18"/>
                <w:b w:val="1"/>
                <w:bCs w:val="1"/>
                <w:color w:val="auto"/>
              </w:rPr>
              <w:t>Fiscal Year 2014 Compared to Fiscal Year 2013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20" w:type="dxa"/>
            <w:vAlign w:val="bottom"/>
            <w:gridSpan w:val="5"/>
          </w:tcPr>
          <w:p>
            <w:pPr>
              <w:ind w:left="240"/>
              <w:spacing w:after="0"/>
              <w:rPr>
                <w:sz w:val="20"/>
                <w:szCs w:val="20"/>
                <w:color w:val="auto"/>
              </w:rPr>
            </w:pPr>
            <w:r>
              <w:rPr>
                <w:rFonts w:ascii="Arial" w:cs="Arial" w:eastAsia="Arial" w:hAnsi="Arial"/>
                <w:sz w:val="18"/>
                <w:szCs w:val="18"/>
                <w:b w:val="1"/>
                <w:bCs w:val="1"/>
                <w:i w:val="1"/>
                <w:iCs w:val="1"/>
                <w:color w:val="auto"/>
              </w:rPr>
              <w:t>Revenues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right"/>
              <w:ind w:right="260"/>
              <w:spacing w:after="0" w:line="129" w:lineRule="exact"/>
              <w:rPr>
                <w:sz w:val="20"/>
                <w:szCs w:val="20"/>
                <w:color w:val="auto"/>
              </w:rPr>
            </w:pPr>
            <w:r>
              <w:rPr>
                <w:rFonts w:ascii="Arial" w:cs="Arial" w:eastAsia="Arial" w:hAnsi="Arial"/>
                <w:sz w:val="14"/>
                <w:szCs w:val="14"/>
                <w:b w:val="1"/>
                <w:bCs w:val="1"/>
                <w:color w:val="auto"/>
                <w:w w:val="92"/>
              </w:rPr>
              <w:t>March</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3"/>
            <w:vMerge w:val="restart"/>
          </w:tcPr>
          <w:p>
            <w:pPr>
              <w:jc w:val="right"/>
              <w:ind w:right="360"/>
              <w:spacing w:after="0" w:line="129" w:lineRule="exact"/>
              <w:rPr>
                <w:sz w:val="20"/>
                <w:szCs w:val="20"/>
                <w:color w:val="auto"/>
              </w:rPr>
            </w:pPr>
            <w:r>
              <w:rPr>
                <w:rFonts w:ascii="Arial" w:cs="Arial" w:eastAsia="Arial" w:hAnsi="Arial"/>
                <w:sz w:val="14"/>
                <w:szCs w:val="14"/>
                <w:b w:val="1"/>
                <w:bCs w:val="1"/>
                <w:color w:val="auto"/>
                <w:w w:val="95"/>
              </w:rPr>
              <w:t>Dollar</w:t>
            </w:r>
          </w:p>
        </w:tc>
        <w:tc>
          <w:tcPr>
            <w:tcW w:w="4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vMerge w:val="restart"/>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April 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29,</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Increase</w:t>
            </w:r>
          </w:p>
        </w:tc>
        <w:tc>
          <w:tcPr>
            <w:tcW w:w="4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2000" w:type="dxa"/>
            <w:vAlign w:val="bottom"/>
            <w:tcBorders>
              <w:bottom w:val="single" w:sz="8" w:color="auto"/>
            </w:tcBorders>
            <w:gridSpan w:val="3"/>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4"/>
          </w:tcPr>
          <w:p>
            <w:pPr>
              <w:jc w:val="right"/>
              <w:ind w:right="240"/>
              <w:spacing w:after="0" w:line="148" w:lineRule="exact"/>
              <w:rPr>
                <w:sz w:val="20"/>
                <w:szCs w:val="20"/>
                <w:color w:val="auto"/>
              </w:rPr>
            </w:pPr>
            <w:r>
              <w:rPr>
                <w:rFonts w:ascii="Arial" w:cs="Arial" w:eastAsia="Arial" w:hAnsi="Arial"/>
                <w:sz w:val="14"/>
                <w:szCs w:val="14"/>
                <w:b w:val="1"/>
                <w:bCs w:val="1"/>
                <w:color w:val="auto"/>
                <w:w w:val="80"/>
              </w:rPr>
              <w:t>(Decrease)</w:t>
            </w:r>
          </w:p>
        </w:tc>
        <w:tc>
          <w:tcPr>
            <w:tcW w:w="400" w:type="dxa"/>
            <w:vAlign w:val="bottom"/>
          </w:tcPr>
          <w:p>
            <w:pPr>
              <w:spacing w:after="0"/>
              <w:rPr>
                <w:sz w:val="12"/>
                <w:szCs w:val="12"/>
                <w:color w:val="auto"/>
              </w:rPr>
            </w:pPr>
          </w:p>
        </w:tc>
        <w:tc>
          <w:tcPr>
            <w:tcW w:w="860" w:type="dxa"/>
            <w:vAlign w:val="bottom"/>
            <w:gridSpan w:val="4"/>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86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785.7</w:t>
            </w:r>
          </w:p>
        </w:tc>
        <w:tc>
          <w:tcPr>
            <w:tcW w:w="1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664.4</w:t>
            </w:r>
          </w:p>
        </w:tc>
        <w:tc>
          <w:tcPr>
            <w:tcW w:w="14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121.3</w:t>
            </w:r>
          </w:p>
        </w:tc>
        <w:tc>
          <w:tcPr>
            <w:tcW w:w="24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60" w:type="dxa"/>
            <w:vAlign w:val="bottom"/>
            <w:gridSpan w:val="4"/>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Service revenues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565.7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455.3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110.5</w:t>
            </w:r>
          </w:p>
        </w:tc>
        <w:tc>
          <w:tcPr>
            <w:tcW w:w="1260" w:type="dxa"/>
            <w:vAlign w:val="bottom"/>
            <w:gridSpan w:val="5"/>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1,351.5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1,119.7</w:t>
            </w:r>
          </w:p>
        </w:tc>
        <w:tc>
          <w:tcPr>
            <w:tcW w:w="7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231.8</w:t>
            </w:r>
          </w:p>
        </w:tc>
        <w:tc>
          <w:tcPr>
            <w:tcW w:w="2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total revenues grew by $231.8 million as a result of a $121.3 million increase in product revenues and a $110.5 million increase in service revenues. The product revenue increase was comprised primarily of $83.1 million in our commercial networks segment and $42.9 million in our government systems segment. The service revenue increase was comprised primarily of $118.4 million in our satellite services segment, offset by a decrease of $5.4 million in our government systems segment.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Fiscal Years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60" w:type="dxa"/>
            <w:vAlign w:val="bottom"/>
            <w:gridSpan w:val="2"/>
            <w:vMerge w:val="restart"/>
          </w:tcPr>
          <w:p>
            <w:pPr>
              <w:jc w:val="right"/>
              <w:ind w:right="720"/>
              <w:spacing w:after="0" w:line="129"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5"/>
                <w:szCs w:val="5"/>
                <w:color w:val="auto"/>
              </w:rPr>
            </w:pPr>
          </w:p>
        </w:tc>
        <w:tc>
          <w:tcPr>
            <w:tcW w:w="500" w:type="dxa"/>
            <w:vAlign w:val="bottom"/>
            <w:vMerge w:val="restart"/>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April 4,</w:t>
            </w:r>
          </w:p>
        </w:tc>
        <w:tc>
          <w:tcPr>
            <w:tcW w:w="1120" w:type="dxa"/>
            <w:vAlign w:val="bottom"/>
            <w:gridSpan w:val="2"/>
          </w:tcPr>
          <w:p>
            <w:pPr>
              <w:jc w:val="center"/>
              <w:ind w:left="566"/>
              <w:spacing w:after="0" w:line="149" w:lineRule="exact"/>
              <w:rPr>
                <w:sz w:val="20"/>
                <w:szCs w:val="20"/>
                <w:color w:val="auto"/>
              </w:rPr>
            </w:pPr>
            <w:r>
              <w:rPr>
                <w:rFonts w:ascii="Arial" w:cs="Arial" w:eastAsia="Arial" w:hAnsi="Arial"/>
                <w:sz w:val="14"/>
                <w:szCs w:val="14"/>
                <w:b w:val="1"/>
                <w:bCs w:val="1"/>
                <w:color w:val="auto"/>
                <w:w w:val="81"/>
              </w:rPr>
              <w:t>29,</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2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1120" w:type="dxa"/>
            <w:vAlign w:val="bottom"/>
            <w:gridSpan w:val="2"/>
          </w:tcPr>
          <w:p>
            <w:pPr>
              <w:jc w:val="center"/>
              <w:ind w:left="566"/>
              <w:spacing w:after="0" w:line="148" w:lineRule="exact"/>
              <w:rPr>
                <w:sz w:val="20"/>
                <w:szCs w:val="20"/>
                <w:color w:val="auto"/>
              </w:rPr>
            </w:pPr>
            <w:r>
              <w:rPr>
                <w:rFonts w:ascii="Arial" w:cs="Arial" w:eastAsia="Arial" w:hAnsi="Arial"/>
                <w:sz w:val="14"/>
                <w:szCs w:val="14"/>
                <w:b w:val="1"/>
                <w:bCs w:val="1"/>
                <w:color w:val="auto"/>
                <w:w w:val="89"/>
              </w:rPr>
              <w:t>2013</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$571.9</w:t>
            </w:r>
          </w:p>
        </w:tc>
        <w:tc>
          <w:tcPr>
            <w:tcW w:w="6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$485.0</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86.9</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419.4</w:t>
            </w:r>
          </w:p>
        </w:tc>
        <w:tc>
          <w:tcPr>
            <w:tcW w:w="6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7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0"/>
              </w:rPr>
              <w:t>$848.2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120" w:type="dxa"/>
            <w:vAlign w:val="bottom"/>
          </w:tcPr>
          <w:p>
            <w:pPr>
              <w:jc w:val="right"/>
              <w:ind w:right="699"/>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Cost of revenues grew by $143.1 million due to a $86.9 million cost of product revenues increase and a $56.2 million cost of service revenues increase. The cost of product revenues increase was primarily due to increased revenues, causing an $88.6 million increase in cost of product revenues on a constant margin basis. This increase mainly related to growth in fixed satellite networks (driven by consumer broadband products), mobile broadband satellite communication systems, antenna systems products and satellite payload technology development programs in our commercial networks segment, but product sales also grew in our government systems segment from information assurance products, tactical data link products, and tactical satcom radio products (relating to our majority-owned subsidiary TrellisWare). The cost of service revenues increase was primarily due to increased service revenues, generating an $88.1 million increase in cost of service revenues on a constant margin basis. This increase mainly related to our Exede broadband services in our satellite services segment. Additionally, as our Exede subscribers have continued to grow and related revenues scale, we have also experienced improved margins from our broadband services in our satellite services segment.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4"/>
                <w:szCs w:val="14"/>
                <w:color w:val="auto"/>
              </w:rPr>
            </w:pPr>
          </w:p>
        </w:tc>
        <w:tc>
          <w:tcPr>
            <w:tcW w:w="13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00" w:type="dxa"/>
            <w:vAlign w:val="bottom"/>
            <w:vMerge w:val="restart"/>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6"/>
              </w:rPr>
              <w:t>April 4,</w:t>
            </w:r>
          </w:p>
        </w:tc>
        <w:tc>
          <w:tcPr>
            <w:tcW w:w="72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March 29,</w:t>
            </w:r>
          </w:p>
        </w:tc>
        <w:tc>
          <w:tcPr>
            <w:tcW w:w="7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00" w:type="dxa"/>
            <w:vAlign w:val="bottom"/>
            <w:vMerge w:val="continue"/>
          </w:tcPr>
          <w:p>
            <w:pPr>
              <w:spacing w:after="0"/>
              <w:rPr>
                <w:sz w:val="12"/>
                <w:szCs w:val="12"/>
                <w:color w:val="auto"/>
              </w:rPr>
            </w:pPr>
          </w:p>
        </w:tc>
        <w:tc>
          <w:tcPr>
            <w:tcW w:w="500" w:type="dxa"/>
            <w:vAlign w:val="bottom"/>
          </w:tcPr>
          <w:p>
            <w:pPr>
              <w:jc w:val="right"/>
              <w:ind w:right="47"/>
              <w:spacing w:after="0" w:line="148" w:lineRule="exact"/>
              <w:rPr>
                <w:sz w:val="20"/>
                <w:szCs w:val="20"/>
                <w:color w:val="auto"/>
              </w:rPr>
            </w:pPr>
            <w:r>
              <w:rPr>
                <w:rFonts w:ascii="Arial" w:cs="Arial" w:eastAsia="Arial" w:hAnsi="Arial"/>
                <w:sz w:val="14"/>
                <w:szCs w:val="14"/>
                <w:b w:val="1"/>
                <w:bCs w:val="1"/>
                <w:color w:val="auto"/>
              </w:rPr>
              <w:t>2014</w:t>
            </w:r>
          </w:p>
        </w:tc>
        <w:tc>
          <w:tcPr>
            <w:tcW w:w="132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13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$281.5</w:t>
            </w:r>
          </w:p>
        </w:tc>
        <w:tc>
          <w:tcPr>
            <w:tcW w:w="7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$ 240.9</w:t>
            </w:r>
          </w:p>
        </w:tc>
        <w:tc>
          <w:tcPr>
            <w:tcW w:w="7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40.7</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The $40.7 million increase in selling, general and administrative (SG&amp;A) expenses was primarily attributable to higher support costs of $33.7 million, higher selling costs of $4.4 million, and higher new business proposal costs of $2.6 million. Of the higher support costs, $23.1 million related to our satellite services segment (due to legal expense, approximately $18.4 million, focused on protecting and extending our technology advantages), $8.4 million to our commercial networks segment, and $2.2 million related to our government systems segment. SG&amp;A expenses consisted primarily of personnel costs and expenses for business development, marketing and sales, bid and proposal, facilities, finance, contract administration and general management.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4"/>
                <w:szCs w:val="14"/>
                <w:color w:val="auto"/>
              </w:rPr>
            </w:pPr>
          </w:p>
        </w:tc>
        <w:tc>
          <w:tcPr>
            <w:tcW w:w="13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2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April 4,</w:t>
            </w:r>
          </w:p>
        </w:tc>
        <w:tc>
          <w:tcPr>
            <w:tcW w:w="34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March 29,</w:t>
            </w:r>
          </w:p>
        </w:tc>
        <w:tc>
          <w:tcPr>
            <w:tcW w:w="7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020" w:type="dxa"/>
            <w:vAlign w:val="bottom"/>
            <w:gridSpan w:val="2"/>
          </w:tcPr>
          <w:p>
            <w:pPr>
              <w:jc w:val="right"/>
              <w:ind w:right="6"/>
              <w:spacing w:after="0" w:line="148"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94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13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5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$ 60.7</w:t>
            </w:r>
          </w:p>
        </w:tc>
        <w:tc>
          <w:tcPr>
            <w:tcW w:w="3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35.4</w:t>
            </w:r>
          </w:p>
        </w:tc>
        <w:tc>
          <w:tcPr>
            <w:tcW w:w="7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25.3</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$25.3 million increase in IR&amp;D expenses reflected increased IR&amp;D efforts in our commercial networks segment of $17.7 million (primarily due to next-generation consumer broadband and next-generation satellite communication systems) and in our government systems segment of $7.8 million (primarily due to development of next-generation dual-band mobility solutions and tactical satcom radio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three to ten years. The decrease in amortization of acquired intangible assets of approximately $1.0 million in fiscal year 2014 compared to last fiscal year was a result of acquired trade name intangibles in our satellite services segment becoming fully amortized over the preceding twelve months. Expected amortization expense for acquired intangible assets for each of the following periods is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11,024</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35,397</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slight decrease in interest income in fiscal year 2014 compared to fiscal year 2013 was primarily due to lower average invested cash balances during fiscal year 2014.</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decrease in interest expense year-over-year of approximately $6.1 million was primarily due to the refinancing, in October 2012, of our former $275.0 million in aggregate principal amount of 2016 Notes with the proceeds from the issuance of an additional $300.0 million in aggregate principal amount of 2020 Notes, which bear interest at a lower rate, coupled with an increase of $5.0 million in the amount of interest capitalized. Capitalized interest expense during fiscal year 2014 related to the commencement of construction of ViaSat-2 and other assets. This decrease was partially offset by interest expense on outstanding borrowings under the Credit Facility during fiscal year 2014. No borrowings were made under the Credit Facility during fiscal year 2013.</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effective income tax benefit in fiscal year 2014 reflected the tax benefit from the loss before income taxes and the benefit from federal and state research tax credits. Due to the December 31, 2013 expiration of the federal research tax credit, fiscal year 2014 only included nine months of the federal research tax credit. Fiscal year 2014 also included a benefit related to the valuation allowance release related primarily to state net operating loss carryforwards as a result of the combination of the merger of ViaSat Communications, Inc. into ViaSat and changes in the apportioned state tax rates. The effective income tax benefit in fiscal year 2013 reflected the tax benefit from the loss before income taxes and the benefit from federal and state research tax credits. Fiscal year 2013 included fifteen months of federal research tax credit as a result of the January 2013 reinstatement of the credit retroactively from January 1,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2014 Compared to Fiscal Year 2013</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57"/>
              <w:spacing w:after="0"/>
              <w:rPr>
                <w:sz w:val="20"/>
                <w:szCs w:val="20"/>
                <w:color w:val="auto"/>
              </w:rPr>
            </w:pPr>
            <w:r>
              <w:rPr>
                <w:rFonts w:ascii="Arial" w:cs="Arial" w:eastAsia="Arial" w:hAnsi="Arial"/>
                <w:sz w:val="14"/>
                <w:szCs w:val="14"/>
                <w:b w:val="1"/>
                <w:bCs w:val="1"/>
                <w:color w:val="auto"/>
              </w:rPr>
              <w:t>Fiscal Years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40" w:type="dxa"/>
            <w:vAlign w:val="bottom"/>
          </w:tcPr>
          <w:p>
            <w:pPr>
              <w:spacing w:after="0"/>
              <w:rPr>
                <w:sz w:val="11"/>
                <w:szCs w:val="11"/>
                <w:color w:val="auto"/>
              </w:rPr>
            </w:pPr>
          </w:p>
        </w:tc>
        <w:tc>
          <w:tcPr>
            <w:tcW w:w="86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6"/>
              </w:rPr>
              <w:t>April 4,</w:t>
            </w:r>
          </w:p>
        </w:tc>
        <w:tc>
          <w:tcPr>
            <w:tcW w:w="3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29,</w:t>
            </w:r>
          </w:p>
        </w:tc>
        <w:tc>
          <w:tcPr>
            <w:tcW w:w="7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3"/>
              </w:rPr>
              <w:t>2014</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7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390.7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272.3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118.4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390.7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satellite services segment revenues grew by $113.7 million, primarily due to the increase in service revenues related to retail and wholesale broadband services. The revenue increase relating to our Exede and WildBlue broadband services was driven by a 25% increase in the number of subscribers, which grew from approximately 512,000 at March 29, 2013 to approximately 641,000 at April 4, 2014, as well as a change in the mix of retail and wholesale subscribers and related higher average revenue per subscriber.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4"/>
                <w:szCs w:val="14"/>
                <w:color w:val="auto"/>
              </w:rPr>
            </w:pPr>
          </w:p>
        </w:tc>
        <w:tc>
          <w:tcPr>
            <w:tcW w:w="12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vMerge w:val="restart"/>
          </w:tcPr>
          <w:p>
            <w:pPr>
              <w:spacing w:after="0"/>
              <w:rPr>
                <w:sz w:val="11"/>
                <w:szCs w:val="11"/>
                <w:color w:val="auto"/>
              </w:rPr>
            </w:pPr>
          </w:p>
        </w:tc>
        <w:tc>
          <w:tcPr>
            <w:tcW w:w="96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92"/>
              </w:rPr>
              <w:t>April 4,</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46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90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(46.0)</w:t>
            </w:r>
          </w:p>
        </w:tc>
        <w:tc>
          <w:tcPr>
            <w:tcW w:w="5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(79.2)</w:t>
            </w:r>
          </w:p>
        </w:tc>
        <w:tc>
          <w:tcPr>
            <w:tcW w:w="5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33.2</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$33.2 million reduction in operating loss for our satellite services segment was primarily due to $59.1 million in higher earnings contributions as our Exede broadband services subscriber base continued to grow, which resulted in increased revenues and improved margins, partially offset by $26.2 million in higher support and selling costs. These higher support and selling costs were mainly attributable to legal expense, approximately $18.4 million, focused on protecting and extending our technology advantages, as well as increased sales and marketing support costs as we continued to expand our consumer broadband subscriber base.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0" w:type="dxa"/>
            <w:vAlign w:val="bottom"/>
            <w:tcBorders>
              <w:bottom w:val="single" w:sz="8" w:color="auto"/>
            </w:tcBorders>
            <w:gridSpan w:val="5"/>
          </w:tcPr>
          <w:p>
            <w:pPr>
              <w:jc w:val="right"/>
              <w:ind w:right="257"/>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1"/>
                <w:szCs w:val="11"/>
                <w:color w:val="auto"/>
              </w:rPr>
            </w:pPr>
          </w:p>
        </w:tc>
        <w:tc>
          <w:tcPr>
            <w:tcW w:w="8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April 4,</w:t>
            </w:r>
          </w:p>
        </w:tc>
        <w:tc>
          <w:tcPr>
            <w:tcW w:w="3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29,</w:t>
            </w: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60" w:type="dxa"/>
            <w:vAlign w:val="bottom"/>
            <w:gridSpan w:val="2"/>
          </w:tcPr>
          <w:p>
            <w:pPr>
              <w:jc w:val="center"/>
              <w:ind w:left="3812"/>
              <w:spacing w:after="0" w:line="148"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2013</w:t>
            </w:r>
          </w:p>
        </w:tc>
        <w:tc>
          <w:tcPr>
            <w:tcW w:w="70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$378.6</w:t>
            </w:r>
          </w:p>
        </w:tc>
        <w:tc>
          <w:tcPr>
            <w:tcW w:w="3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295.5</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83.1</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$395.5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commercial networks segment revenues increased by $80.6 million, primarily due to the $83.1 million increase in product revenues. Of this product revenue increase, $55.6 million related to fixed satellite networks (driven by consumer broadband products), $18.8 million to mobile broadband satellite communication systems, $8.6 million to antenna systems products, and $6.7 million to satellite payload technology development programs. These increases were partially offset by a decrease in revenues for our satellite networking development programs of $7.6 million.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78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Fiscal Years Ended</w:t>
            </w:r>
          </w:p>
        </w:tc>
        <w:tc>
          <w:tcPr>
            <w:tcW w:w="12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vMerge w:val="restart"/>
          </w:tcPr>
          <w:p>
            <w:pPr>
              <w:spacing w:after="0"/>
              <w:rPr>
                <w:sz w:val="11"/>
                <w:szCs w:val="11"/>
                <w:color w:val="auto"/>
              </w:rPr>
            </w:pPr>
          </w:p>
        </w:tc>
        <w:tc>
          <w:tcPr>
            <w:tcW w:w="100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2"/>
              </w:rPr>
              <w:t>April 4,</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860" w:type="dxa"/>
            <w:vAlign w:val="bottom"/>
          </w:tcPr>
          <w:p>
            <w:pPr>
              <w:spacing w:after="0"/>
              <w:rPr>
                <w:sz w:val="11"/>
                <w:szCs w:val="11"/>
                <w:color w:val="auto"/>
              </w:rPr>
            </w:pPr>
          </w:p>
        </w:tc>
        <w:tc>
          <w:tcPr>
            <w:tcW w:w="128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48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92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2"/>
                <w:szCs w:val="12"/>
                <w:color w:val="auto"/>
              </w:rPr>
            </w:pPr>
          </w:p>
        </w:tc>
        <w:tc>
          <w:tcPr>
            <w:tcW w:w="128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(12.1)</w:t>
            </w:r>
          </w:p>
        </w:tc>
        <w:tc>
          <w:tcPr>
            <w:tcW w:w="5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(11.1)</w:t>
            </w:r>
          </w:p>
        </w:tc>
        <w:tc>
          <w:tcPr>
            <w:tcW w:w="8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(1.1)</w:t>
            </w:r>
          </w:p>
        </w:tc>
        <w:tc>
          <w:tcPr>
            <w:tcW w:w="7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$1.1 million increase in operating loss for our commercial networks segment was primarily due to higher IR&amp;D costs of $17.7 million and higher support and new business proposal costs of $7.3 million, partially offset by $23.9 million in higher earnings contributions from increased revenues in our consumer broadband products, mobile broadband satellite communication systems, and antenna systems products.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60" w:type="dxa"/>
            <w:vAlign w:val="bottom"/>
            <w:gridSpan w:val="5"/>
          </w:tcPr>
          <w:p>
            <w:pPr>
              <w:ind w:left="34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00" w:type="dxa"/>
            <w:vAlign w:val="bottom"/>
          </w:tcPr>
          <w:p>
            <w:pPr>
              <w:spacing w:after="0"/>
              <w:rPr>
                <w:sz w:val="11"/>
                <w:szCs w:val="11"/>
                <w:color w:val="auto"/>
              </w:rPr>
            </w:pPr>
          </w:p>
        </w:tc>
        <w:tc>
          <w:tcPr>
            <w:tcW w:w="11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April 4,</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40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68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$407.1</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364.2</w:t>
            </w: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42.9</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$565.2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government systems segment revenues grew by $37.5 million, due to an increase of $42.9 million in product revenues, partially offset by a $5.4 million decrease in service revenues. The increase in product revenues was primarily due to revenue increases of $24.9 million in information assurance products, $8.2 million in tactical data link products, $7.5 million in tactical satcom radio products, and $2.3 million in government satellite communication systems (mainly attributable to command and control situational awareness).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Fiscal Years Ended</w:t>
            </w: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20" w:type="dxa"/>
            <w:vAlign w:val="bottom"/>
            <w:vMerge w:val="restart"/>
          </w:tcPr>
          <w:p>
            <w:pPr>
              <w:spacing w:after="0"/>
              <w:rPr>
                <w:sz w:val="11"/>
                <w:szCs w:val="11"/>
                <w:color w:val="auto"/>
              </w:rPr>
            </w:pPr>
          </w:p>
        </w:tc>
        <w:tc>
          <w:tcPr>
            <w:tcW w:w="16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8"/>
              </w:rPr>
              <w:t>April 4,</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820" w:type="dxa"/>
            <w:vAlign w:val="bottom"/>
          </w:tcPr>
          <w:p>
            <w:pPr>
              <w:spacing w:after="0"/>
              <w:rPr>
                <w:sz w:val="11"/>
                <w:szCs w:val="11"/>
                <w:color w:val="auto"/>
              </w:rPr>
            </w:pPr>
          </w:p>
        </w:tc>
        <w:tc>
          <w:tcPr>
            <w:tcW w:w="13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212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94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2"/>
                <w:szCs w:val="12"/>
                <w:color w:val="auto"/>
              </w:rPr>
            </w:pPr>
          </w:p>
        </w:tc>
        <w:tc>
          <w:tcPr>
            <w:tcW w:w="13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6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$ 76.0</w:t>
            </w:r>
          </w:p>
        </w:tc>
        <w:tc>
          <w:tcPr>
            <w:tcW w:w="4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85.5</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(9.4)</w:t>
            </w:r>
          </w:p>
        </w:tc>
        <w:tc>
          <w:tcPr>
            <w:tcW w:w="7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580" w:type="dxa"/>
            <w:vAlign w:val="bottom"/>
            <w:gridSpan w:val="3"/>
          </w:tcPr>
          <w:p>
            <w:pPr>
              <w:jc w:val="right"/>
              <w:ind w:right="320"/>
              <w:spacing w:after="0"/>
              <w:rPr>
                <w:sz w:val="20"/>
                <w:szCs w:val="20"/>
                <w:color w:val="auto"/>
              </w:rPr>
            </w:pPr>
            <w:r>
              <w:rPr>
                <w:rFonts w:ascii="Arial" w:cs="Arial" w:eastAsia="Arial" w:hAnsi="Arial"/>
                <w:sz w:val="18"/>
                <w:szCs w:val="18"/>
                <w:color w:val="auto"/>
              </w:rPr>
              <w:t>13.5%</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16.2%</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$9.4 million decrease in our government systems segment operating profit reflected higher IR&amp;D costs of $7.8 million and higher selling, support and new business proposal costs of $7.2 million, offset by $5.6 million of higher earnings contributions (mainly from revenue growth in information assurance products and tactical data link products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2013 Compared to Fiscal Year 2012</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29,</w:t>
            </w:r>
          </w:p>
        </w:tc>
        <w:tc>
          <w:tcPr>
            <w:tcW w:w="32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March 30,</w:t>
            </w:r>
          </w:p>
        </w:tc>
        <w:tc>
          <w:tcPr>
            <w:tcW w:w="3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9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664.4</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542.1</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122.4</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455.3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1,119.7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920" w:type="dxa"/>
            <w:vAlign w:val="bottom"/>
          </w:tcPr>
          <w:p>
            <w:pPr>
              <w:jc w:val="right"/>
              <w:ind w:right="49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total revenues increased approximately $256.1 million during fiscal year 2013 when compared to fiscal year 2012 due to an increase in both service and product revenues. The increase in service revenues of approximately $133.7 million was primarily driven by service revenue increases in our government systems segment of approximately $83.4 million and in our satellite services segment of approximately $52.6 million. The increase in product revenues of approximately $122.4 million was primarily derived from product revenue increases in our commercial networks segment of approximately $65.5 million and in our government systems segment of approximately $55.1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March 29,</w:t>
            </w:r>
          </w:p>
        </w:tc>
        <w:tc>
          <w:tcPr>
            <w:tcW w:w="7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March 30,</w:t>
            </w:r>
          </w:p>
        </w:tc>
        <w:tc>
          <w:tcPr>
            <w:tcW w:w="700" w:type="dxa"/>
            <w:vAlign w:val="bottom"/>
          </w:tcPr>
          <w:p>
            <w:pPr>
              <w:spacing w:after="0"/>
              <w:rPr>
                <w:sz w:val="12"/>
                <w:szCs w:val="12"/>
                <w:color w:val="auto"/>
              </w:rPr>
            </w:pPr>
          </w:p>
        </w:tc>
        <w:tc>
          <w:tcPr>
            <w:tcW w:w="13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2013</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Pr>
          <w:p>
            <w:pPr>
              <w:spacing w:after="0"/>
              <w:rPr>
                <w:sz w:val="12"/>
                <w:szCs w:val="12"/>
                <w:color w:val="auto"/>
              </w:rPr>
            </w:pPr>
          </w:p>
        </w:tc>
        <w:tc>
          <w:tcPr>
            <w:tcW w:w="13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7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485.0</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402.8</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82.2</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363.2</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7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Total cost of revenues increased $212.2 million during fiscal year 2013 when compared to fiscal year 2012 principally related to a cost of service revenues increase of approximately $130.0 million. Cost of service revenues increased from $233.2 million to $363.2 million during fiscal year 2013 when compared to fiscal year 2012 primarily due to an increase in service revenues, which caused an increase of approximately $97.0 million in cost of service revenues on a constant margin basis, mainly related to government satellite communications systems services in our government systems segment and our Exede broadband services in our satellite services segment. Additionally, in fiscal year 2013 we experienced an increase of cost of service revenues associated with our ViaSat-1 satellite, data center, billing system and costs in connection with our Exede broadband services, which commenced commercial operation in January 2012. Cost of product revenues increased from $402.8 million to $485.0 million during fiscal year 2013 when compared to fiscal year 2012 primarily due to increased product revenues, which caused an increase of approximately $90.9 million in cost of product revenues on a constant margin basis, mainly related to consumer broadband products in our commercial networks segment and government satellite communications systems in our government systems segment. This increase in cost of product revenues was partially offset by improved margins in our commercial networks segment mainly related to consumer broadband products.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5"/>
                <w:szCs w:val="15"/>
                <w:color w:val="auto"/>
              </w:rPr>
            </w:pPr>
          </w:p>
        </w:tc>
        <w:tc>
          <w:tcPr>
            <w:tcW w:w="13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40" w:type="dxa"/>
            <w:vAlign w:val="bottom"/>
            <w:vMerge w:val="restart"/>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March 30,</w:t>
            </w:r>
          </w:p>
        </w:tc>
        <w:tc>
          <w:tcPr>
            <w:tcW w:w="7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600" w:type="dxa"/>
            <w:vAlign w:val="bottom"/>
          </w:tcPr>
          <w:p>
            <w:pPr>
              <w:jc w:val="right"/>
              <w:ind w:right="87"/>
              <w:spacing w:after="0" w:line="148"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94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13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$ 240.9</w:t>
            </w:r>
          </w:p>
        </w:tc>
        <w:tc>
          <w:tcPr>
            <w:tcW w:w="3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$ 181.7</w:t>
            </w:r>
          </w:p>
        </w:tc>
        <w:tc>
          <w:tcPr>
            <w:tcW w:w="7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59.1</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increase in SG&amp;A expenses of $59.1 million during fiscal year 2013 compared to fiscal year 2012 was primarily attributable to higher selling costs of $44.7 million, as well as higher support costs of $14.0 million. Of the higher selling costs, $40.9 million related to our satellite services segment as we continued to grow our consumer broadband subscriber base. These higher support costs consisted of $7.7 million related to our satellite services segment, $4.4 million related to our commercial networks segment, and $1.9 million related to our government systems segment. SG&amp;A expenses consisted primarily of personnel costs and expenses for business development, marketing and sales, bid and proposal, facilities, finance, contract administration and general management.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Fiscal Years Ended</w:t>
            </w:r>
          </w:p>
        </w:tc>
        <w:tc>
          <w:tcPr>
            <w:tcW w:w="780" w:type="dxa"/>
            <w:vAlign w:val="bottom"/>
          </w:tcPr>
          <w:p>
            <w:pPr>
              <w:spacing w:after="0"/>
              <w:rPr>
                <w:sz w:val="15"/>
                <w:szCs w:val="15"/>
                <w:color w:val="auto"/>
              </w:rPr>
            </w:pPr>
          </w:p>
        </w:tc>
        <w:tc>
          <w:tcPr>
            <w:tcW w:w="13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3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vMerge w:val="restart"/>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29,</w:t>
            </w:r>
          </w:p>
        </w:tc>
        <w:tc>
          <w:tcPr>
            <w:tcW w:w="6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March 30,</w:t>
            </w:r>
          </w:p>
        </w:tc>
        <w:tc>
          <w:tcPr>
            <w:tcW w:w="780" w:type="dxa"/>
            <w:vAlign w:val="bottom"/>
          </w:tcPr>
          <w:p>
            <w:pPr>
              <w:spacing w:after="0"/>
              <w:rPr>
                <w:sz w:val="12"/>
                <w:szCs w:val="12"/>
                <w:color w:val="auto"/>
              </w:rPr>
            </w:pP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600" w:type="dxa"/>
            <w:vAlign w:val="bottom"/>
          </w:tcPr>
          <w:p>
            <w:pPr>
              <w:jc w:val="right"/>
              <w:ind w:right="87"/>
              <w:spacing w:after="0" w:line="148"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600" w:type="dxa"/>
            <w:vAlign w:val="bottom"/>
          </w:tcPr>
          <w:p>
            <w:pPr>
              <w:jc w:val="right"/>
              <w:ind w:right="86"/>
              <w:spacing w:after="0" w:line="148" w:lineRule="exact"/>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2"/>
                <w:szCs w:val="12"/>
                <w:color w:val="auto"/>
              </w:rPr>
            </w:pPr>
          </w:p>
        </w:tc>
        <w:tc>
          <w:tcPr>
            <w:tcW w:w="136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6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35.4</w:t>
            </w:r>
          </w:p>
        </w:tc>
        <w:tc>
          <w:tcPr>
            <w:tcW w:w="7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25.0</w:t>
            </w: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10.5</w:t>
            </w:r>
          </w:p>
        </w:tc>
        <w:tc>
          <w:tcPr>
            <w:tcW w:w="7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increase in IR&amp;D expenses of approximately $10.5 million represents a year-over-year increase in our commercial networks segment of approximately $5.9 million (primarily due to next-generation consumer broadband and next-generation satellite communications systems development projects) and in our government systems segment of approximately $3.8 million (primarily due to advancement of integrated government satellite communications platforms).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three to ten years. The decrease in amortization of acquired intangible assets of approximately $3.1 million in fiscal year 2013 compared to the prior fiscal year was a result of certain acquired technology intangibles in our commercial networks segment becoming fully amortized over the preceding twelve months.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Interest income in fiscal year 2013 compared to fiscal year 2012 increased slightly as we experienced higher average invested cash balances, but slightly lower average interest rates on our investments during fiscal year 2013 compared to fiscal year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increase in interest expense year-over-year of approximately $35.7 million was primarily due to lower capitalized interest and additional interest incurred on our initial 2020 Notes, which were issued in the fourth quarter of fiscal year 2012 (the Initial 2020 Notes). In fiscal year 2013, we capitalized approximately $3.1 million of interest associated with other assets currently under construction, compared to approximately $25.9 million in fiscal year 2012 associated with our ViaSat-1 satellite, related gateways and networking equipment, which were placed into service during the fourth quarter of fiscal year 2012.</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effective income tax benefit in fiscal year 2013 reflected the tax benefit from the loss before income taxes and the benefit from federal and state research tax credits. Fiscal year 2013 included fifteen months of federal research tax credit as a result of the January 2013 reinstatement of the credit retroactively from January 1, 2012. The effective income tax benefit in fiscal year 2012 reflected the tax benefit from the loss before income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taxes and the benefit from federal and state research tax credits. Due to the December 31, 2011 expiration of the federal research tax credits, fiscal year 2012 only included nine months of the federal research tax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2013 Compared to Fiscal Year 2012</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7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March 30,</w:t>
            </w:r>
          </w:p>
        </w:tc>
        <w:tc>
          <w:tcPr>
            <w:tcW w:w="7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7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2012</w:t>
            </w:r>
          </w:p>
        </w:tc>
        <w:tc>
          <w:tcPr>
            <w:tcW w:w="70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70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3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272.3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277.0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increase of approximately $54.3 million in our satellite services segment revenue in fiscal year 2013 compared to fiscal year 2012 was predominately from increased service revenues of approximately $52.6 million. This increase was comprised of a $48.5 million increase in retail and wholesale broadband services and a $4.1 million increase in mobile broadband services. The revenue increase relating to our Exede and WildBlue broadband services was primarily due to a 14% increase in the number of subscribers in fiscal year 2013 to approximately 512,000 compared to fiscal year 2012, as well as a change in the mix of retail and wholesale subscribers and related higher average revenue per subscriber.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92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Fiscal Years Ended</w:t>
            </w:r>
          </w:p>
        </w:tc>
        <w:tc>
          <w:tcPr>
            <w:tcW w:w="130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20" w:type="dxa"/>
            <w:vAlign w:val="bottom"/>
            <w:vMerge w:val="restart"/>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March 29,</w:t>
            </w:r>
          </w:p>
        </w:tc>
        <w:tc>
          <w:tcPr>
            <w:tcW w:w="320" w:type="dxa"/>
            <w:vAlign w:val="bottom"/>
          </w:tcPr>
          <w:p>
            <w:pPr>
              <w:spacing w:after="0"/>
              <w:rPr>
                <w:sz w:val="12"/>
                <w:szCs w:val="12"/>
                <w:color w:val="auto"/>
              </w:rPr>
            </w:pPr>
          </w:p>
        </w:tc>
        <w:tc>
          <w:tcPr>
            <w:tcW w:w="14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9"/>
              </w:rPr>
              <w:t>March 30,</w:t>
            </w: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2160" w:type="dxa"/>
            <w:vAlign w:val="bottom"/>
            <w:gridSpan w:val="2"/>
          </w:tcPr>
          <w:p>
            <w:pPr>
              <w:jc w:val="right"/>
              <w:ind w:right="86"/>
              <w:spacing w:after="0" w:line="148"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92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2012</w:t>
            </w:r>
          </w:p>
        </w:tc>
        <w:tc>
          <w:tcPr>
            <w:tcW w:w="860" w:type="dxa"/>
            <w:vAlign w:val="bottom"/>
          </w:tcPr>
          <w:p>
            <w:pPr>
              <w:spacing w:after="0"/>
              <w:rPr>
                <w:sz w:val="12"/>
                <w:szCs w:val="12"/>
                <w:color w:val="auto"/>
              </w:rPr>
            </w:pPr>
          </w:p>
        </w:tc>
        <w:tc>
          <w:tcPr>
            <w:tcW w:w="130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0"/>
              </w:rPr>
              <w:t>Decrease</w:t>
            </w:r>
          </w:p>
        </w:tc>
        <w:tc>
          <w:tcPr>
            <w:tcW w:w="9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3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5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vMerge w:val="continue"/>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(79.2)</w:t>
            </w:r>
          </w:p>
        </w:tc>
        <w:tc>
          <w:tcPr>
            <w:tcW w:w="5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(16.8)</w:t>
            </w:r>
          </w:p>
        </w:tc>
        <w:tc>
          <w:tcPr>
            <w:tcW w:w="8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(62.4)</w:t>
            </w:r>
          </w:p>
        </w:tc>
        <w:tc>
          <w:tcPr>
            <w:tcW w:w="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700" w:type="dxa"/>
            <w:vAlign w:val="bottom"/>
            <w:gridSpan w:val="3"/>
          </w:tcPr>
          <w:p>
            <w:pPr>
              <w:jc w:val="right"/>
              <w:ind w:right="340"/>
              <w:spacing w:after="0"/>
              <w:rPr>
                <w:sz w:val="20"/>
                <w:szCs w:val="20"/>
                <w:color w:val="auto"/>
              </w:rPr>
            </w:pPr>
            <w:r>
              <w:rPr>
                <w:rFonts w:ascii="Arial" w:cs="Arial" w:eastAsia="Arial" w:hAnsi="Arial"/>
                <w:sz w:val="18"/>
                <w:szCs w:val="18"/>
                <w:color w:val="auto"/>
              </w:rPr>
              <w:t>(28.6)%</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satellite services segment incurred a $79.2 million loss in fiscal year 2013, which increased $62.4 million from fiscal year 2012. The fiscal year 2013 loss was primarily due to the start-up effects of higher operating expenses incurred associated with our ViaSat-1 satellite and related infrastructure, as commercial operation of our Exede broadband services commenced in January 2012 and the related subscriber base was in the early phases of growth. These higher operating expenses included additional depreciation of $34.7 million, and $61.5 million in additional costs related to satellite services operations support costs and selling, advertising and marketing costs as we continued to expand the subscriber base of our Exede broadband services.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rPr>
              <w:t>Fiscal Years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30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March</w:t>
            </w: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restart"/>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80" w:type="dxa"/>
            <w:vAlign w:val="bottom"/>
            <w:gridSpan w:val="2"/>
          </w:tcPr>
          <w:p>
            <w:pPr>
              <w:jc w:val="center"/>
              <w:ind w:left="3606"/>
              <w:spacing w:after="0" w:line="149" w:lineRule="exact"/>
              <w:rPr>
                <w:sz w:val="20"/>
                <w:szCs w:val="20"/>
                <w:color w:val="auto"/>
              </w:rPr>
            </w:pPr>
            <w:r>
              <w:rPr>
                <w:rFonts w:ascii="Arial" w:cs="Arial" w:eastAsia="Arial" w:hAnsi="Arial"/>
                <w:sz w:val="14"/>
                <w:szCs w:val="14"/>
                <w:b w:val="1"/>
                <w:bCs w:val="1"/>
                <w:color w:val="auto"/>
                <w:w w:val="92"/>
              </w:rPr>
              <w:t>29,</w:t>
            </w:r>
          </w:p>
        </w:tc>
        <w:tc>
          <w:tcPr>
            <w:tcW w:w="8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80" w:type="dxa"/>
            <w:vAlign w:val="bottom"/>
            <w:gridSpan w:val="2"/>
          </w:tcPr>
          <w:p>
            <w:pPr>
              <w:jc w:val="center"/>
              <w:ind w:left="3606"/>
              <w:spacing w:after="0" w:line="148" w:lineRule="exact"/>
              <w:rPr>
                <w:sz w:val="20"/>
                <w:szCs w:val="20"/>
                <w:color w:val="auto"/>
              </w:rPr>
            </w:pPr>
            <w:r>
              <w:rPr>
                <w:rFonts w:ascii="Arial" w:cs="Arial" w:eastAsia="Arial" w:hAnsi="Arial"/>
                <w:sz w:val="14"/>
                <w:szCs w:val="14"/>
                <w:b w:val="1"/>
                <w:bCs w:val="1"/>
                <w:color w:val="auto"/>
                <w:w w:val="83"/>
              </w:rPr>
              <w:t>2013</w:t>
            </w:r>
          </w:p>
        </w:tc>
        <w:tc>
          <w:tcPr>
            <w:tcW w:w="80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$295.5</w:t>
            </w:r>
          </w:p>
        </w:tc>
        <w:tc>
          <w:tcPr>
            <w:tcW w:w="8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$229.9</w:t>
            </w: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65.5</w:t>
            </w:r>
          </w:p>
        </w:tc>
        <w:tc>
          <w:tcPr>
            <w:tcW w:w="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980" w:type="dxa"/>
            <w:vAlign w:val="bottom"/>
            <w:gridSpan w:val="3"/>
            <w:shd w:val="clear" w:color="auto" w:fill="CCEEFF"/>
          </w:tcPr>
          <w:p>
            <w:pPr>
              <w:jc w:val="center"/>
              <w:ind w:left="2806"/>
              <w:spacing w:after="0"/>
              <w:rPr>
                <w:sz w:val="20"/>
                <w:szCs w:val="20"/>
                <w:color w:val="auto"/>
              </w:rPr>
            </w:pPr>
            <w:r>
              <w:rPr>
                <w:rFonts w:ascii="Arial" w:cs="Arial" w:eastAsia="Arial" w:hAnsi="Arial"/>
                <w:sz w:val="18"/>
                <w:szCs w:val="18"/>
                <w:color w:val="auto"/>
                <w:w w:val="90"/>
              </w:rPr>
              <w:t>$314.9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Commercial networks segment revenue increased approximately $63.3 million in fiscal year 2013 compared to fiscal year 2012, due to an increase in product revenues of approximately $65.5 million, offset by a decrease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service revenues of approximately $2.3 million. The product revenue increase was comprised of a $77.8 million increase in fixed satellite networks (driven by consumer broadband products), a $6.0 million increase in satellite payload technology development programs and a $3.9 million increase in satellite networking development programs. This increase in product revenues was partially offset by decreases of $19.3 million in antenna systems products and $2.0 million in mobile broadband satellite communication systems.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Fiscal Years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340" w:type="dxa"/>
            <w:vAlign w:val="bottom"/>
            <w:gridSpan w:val="2"/>
            <w:vMerge w:val="restart"/>
          </w:tcPr>
          <w:p>
            <w:pPr>
              <w:jc w:val="right"/>
              <w:ind w:right="940"/>
              <w:spacing w:after="0" w:line="129" w:lineRule="exact"/>
              <w:rPr>
                <w:sz w:val="20"/>
                <w:szCs w:val="20"/>
                <w:color w:val="auto"/>
              </w:rPr>
            </w:pPr>
            <w:r>
              <w:rPr>
                <w:rFonts w:ascii="Arial" w:cs="Arial" w:eastAsia="Arial" w:hAnsi="Arial"/>
                <w:sz w:val="14"/>
                <w:szCs w:val="14"/>
                <w:b w:val="1"/>
                <w:bCs w:val="1"/>
                <w:color w:val="auto"/>
                <w:w w:val="92"/>
              </w:rPr>
              <w:t>March</w:t>
            </w:r>
          </w:p>
        </w:tc>
        <w:tc>
          <w:tcPr>
            <w:tcW w:w="1340" w:type="dxa"/>
            <w:vAlign w:val="bottom"/>
            <w:gridSpan w:val="2"/>
            <w:vMerge w:val="restart"/>
          </w:tcPr>
          <w:p>
            <w:pPr>
              <w:jc w:val="right"/>
              <w:ind w:right="940"/>
              <w:spacing w:after="0" w:line="129" w:lineRule="exact"/>
              <w:rPr>
                <w:sz w:val="20"/>
                <w:szCs w:val="20"/>
                <w:color w:val="auto"/>
              </w:rPr>
            </w:pPr>
            <w:r>
              <w:rPr>
                <w:rFonts w:ascii="Arial" w:cs="Arial" w:eastAsia="Arial" w:hAnsi="Arial"/>
                <w:sz w:val="14"/>
                <w:szCs w:val="14"/>
                <w:b w:val="1"/>
                <w:bCs w:val="1"/>
                <w:color w:val="auto"/>
                <w:w w:val="92"/>
              </w:rPr>
              <w:t>March</w:t>
            </w:r>
          </w:p>
        </w:tc>
        <w:tc>
          <w:tcPr>
            <w:tcW w:w="100" w:type="dxa"/>
            <w:vAlign w:val="bottom"/>
          </w:tcPr>
          <w:p>
            <w:pPr>
              <w:spacing w:after="0"/>
              <w:rPr>
                <w:sz w:val="5"/>
                <w:szCs w:val="5"/>
                <w:color w:val="auto"/>
              </w:rPr>
            </w:pPr>
          </w:p>
        </w:tc>
        <w:tc>
          <w:tcPr>
            <w:tcW w:w="1260" w:type="dxa"/>
            <w:vAlign w:val="bottom"/>
            <w:gridSpan w:val="2"/>
            <w:vMerge w:val="restart"/>
          </w:tcPr>
          <w:p>
            <w:pPr>
              <w:jc w:val="center"/>
              <w:ind w:right="86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00" w:type="dxa"/>
            <w:vAlign w:val="bottom"/>
            <w:vMerge w:val="restart"/>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29,</w:t>
            </w:r>
          </w:p>
        </w:tc>
        <w:tc>
          <w:tcPr>
            <w:tcW w:w="8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880" w:type="dxa"/>
            <w:vAlign w:val="bottom"/>
          </w:tcPr>
          <w:p>
            <w:pPr>
              <w:spacing w:after="0"/>
              <w:rPr>
                <w:sz w:val="12"/>
                <w:szCs w:val="12"/>
                <w:color w:val="auto"/>
              </w:rPr>
            </w:pPr>
          </w:p>
        </w:tc>
        <w:tc>
          <w:tcPr>
            <w:tcW w:w="13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2013</w:t>
            </w:r>
          </w:p>
        </w:tc>
        <w:tc>
          <w:tcPr>
            <w:tcW w:w="88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880" w:type="dxa"/>
            <w:vAlign w:val="bottom"/>
          </w:tcPr>
          <w:p>
            <w:pPr>
              <w:spacing w:after="0"/>
              <w:rPr>
                <w:sz w:val="12"/>
                <w:szCs w:val="12"/>
                <w:color w:val="auto"/>
              </w:rPr>
            </w:pPr>
          </w:p>
        </w:tc>
        <w:tc>
          <w:tcPr>
            <w:tcW w:w="1360" w:type="dxa"/>
            <w:vAlign w:val="bottom"/>
            <w:gridSpan w:val="3"/>
          </w:tcPr>
          <w:p>
            <w:pPr>
              <w:jc w:val="center"/>
              <w:ind w:right="7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3"/>
              </w:rPr>
              <w:t>Decrease</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0"/>
              </w:rPr>
              <w:t>$(11.1)</w:t>
            </w:r>
          </w:p>
        </w:tc>
        <w:tc>
          <w:tcPr>
            <w:tcW w:w="8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4"/>
              </w:rPr>
              <w:t>$ (13.0)</w:t>
            </w: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7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reduction of our commercial networks segment operating loss in fiscal year 2013 compared to the prior fiscal year was primarily due to higher earnings contributions of approximately $13.1 million from increased revenues and improved margins in our consumer broadband products, partially offset by higher IR&amp;D costs of $5.9 million and an increase in selling, support and new business proposal costs of $5.3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24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March</w:t>
            </w: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20" w:type="dxa"/>
            <w:vAlign w:val="bottom"/>
            <w:gridSpan w:val="2"/>
          </w:tcPr>
          <w:p>
            <w:pPr>
              <w:jc w:val="center"/>
              <w:ind w:left="3726"/>
              <w:spacing w:after="0" w:line="149" w:lineRule="exact"/>
              <w:rPr>
                <w:sz w:val="20"/>
                <w:szCs w:val="20"/>
                <w:color w:val="auto"/>
              </w:rPr>
            </w:pPr>
            <w:r>
              <w:rPr>
                <w:rFonts w:ascii="Arial" w:cs="Arial" w:eastAsia="Arial" w:hAnsi="Arial"/>
                <w:sz w:val="14"/>
                <w:szCs w:val="14"/>
                <w:b w:val="1"/>
                <w:bCs w:val="1"/>
                <w:color w:val="auto"/>
                <w:w w:val="81"/>
              </w:rPr>
              <w:t>29,</w:t>
            </w:r>
          </w:p>
        </w:tc>
        <w:tc>
          <w:tcPr>
            <w:tcW w:w="7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740" w:type="dxa"/>
            <w:vAlign w:val="bottom"/>
          </w:tcPr>
          <w:p>
            <w:pPr>
              <w:spacing w:after="0"/>
              <w:rPr>
                <w:sz w:val="12"/>
                <w:szCs w:val="12"/>
                <w:color w:val="auto"/>
              </w:rPr>
            </w:pP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20" w:type="dxa"/>
            <w:vAlign w:val="bottom"/>
            <w:gridSpan w:val="2"/>
          </w:tcPr>
          <w:p>
            <w:pPr>
              <w:jc w:val="center"/>
              <w:ind w:left="3726"/>
              <w:spacing w:after="0" w:line="148" w:lineRule="exact"/>
              <w:rPr>
                <w:sz w:val="20"/>
                <w:szCs w:val="20"/>
                <w:color w:val="auto"/>
              </w:rPr>
            </w:pPr>
            <w:r>
              <w:rPr>
                <w:rFonts w:ascii="Arial" w:cs="Arial" w:eastAsia="Arial" w:hAnsi="Arial"/>
                <w:sz w:val="14"/>
                <w:szCs w:val="14"/>
                <w:b w:val="1"/>
                <w:bCs w:val="1"/>
                <w:color w:val="auto"/>
                <w:w w:val="89"/>
              </w:rPr>
              <w:t>2013</w:t>
            </w:r>
          </w:p>
        </w:tc>
        <w:tc>
          <w:tcPr>
            <w:tcW w:w="74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740" w:type="dxa"/>
            <w:vAlign w:val="bottom"/>
          </w:tcPr>
          <w:p>
            <w:pPr>
              <w:spacing w:after="0"/>
              <w:rPr>
                <w:sz w:val="12"/>
                <w:szCs w:val="12"/>
                <w:color w:val="auto"/>
              </w:rPr>
            </w:pP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$364.2</w:t>
            </w:r>
          </w:p>
        </w:tc>
        <w:tc>
          <w:tcPr>
            <w:tcW w:w="7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$309.1</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55.1</w:t>
            </w:r>
          </w:p>
        </w:tc>
        <w:tc>
          <w:tcPr>
            <w:tcW w:w="7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163.5</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83.4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60" w:type="dxa"/>
            <w:vAlign w:val="bottom"/>
            <w:gridSpan w:val="3"/>
            <w:shd w:val="clear" w:color="auto" w:fill="CCEEFF"/>
          </w:tcPr>
          <w:p>
            <w:pPr>
              <w:jc w:val="center"/>
              <w:ind w:left="3006"/>
              <w:spacing w:after="0"/>
              <w:rPr>
                <w:sz w:val="20"/>
                <w:szCs w:val="20"/>
                <w:color w:val="auto"/>
              </w:rPr>
            </w:pPr>
            <w:r>
              <w:rPr>
                <w:rFonts w:ascii="Arial" w:cs="Arial" w:eastAsia="Arial" w:hAnsi="Arial"/>
                <w:sz w:val="18"/>
                <w:szCs w:val="18"/>
                <w:color w:val="auto"/>
                <w:w w:val="90"/>
              </w:rPr>
              <w:t>$527.8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$389.3</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138.5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Total revenues in our government systems segment increased approximately $138.5 million in fiscal year 2013 compared to the prior fiscal year due to an increase in service revenues of $83.4 million and an increase in product revenues of $55.1 million. The increase in service revenues was primarily due to a revenue increase of $86.4 million in government satellite communication systems services (mainly attributable to broadband networking services revenues for military customers and command and control situational awareness), offset by a decrease in information assurance services of $3.9 million. The increase in product revenues was primarily due to a revenue increase of $34.3 million in government satellite communication systems, $15.1 million in tactical data link products and $10.4 million in tactical satcom radio products, offset by a revenue decrease of $4.6 million in information assurance products.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Fiscal Years Ended</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80" w:type="dxa"/>
            <w:vAlign w:val="bottom"/>
            <w:gridSpan w:val="2"/>
            <w:vMerge w:val="restart"/>
          </w:tcPr>
          <w:p>
            <w:pPr>
              <w:jc w:val="right"/>
              <w:ind w:right="900"/>
              <w:spacing w:after="0" w:line="129" w:lineRule="exact"/>
              <w:rPr>
                <w:sz w:val="20"/>
                <w:szCs w:val="20"/>
                <w:color w:val="auto"/>
              </w:rPr>
            </w:pPr>
            <w:r>
              <w:rPr>
                <w:rFonts w:ascii="Arial" w:cs="Arial" w:eastAsia="Arial" w:hAnsi="Arial"/>
                <w:sz w:val="14"/>
                <w:szCs w:val="14"/>
                <w:b w:val="1"/>
                <w:bCs w:val="1"/>
                <w:color w:val="auto"/>
                <w:w w:val="87"/>
              </w:rPr>
              <w:t>March</w:t>
            </w:r>
          </w:p>
        </w:tc>
        <w:tc>
          <w:tcPr>
            <w:tcW w:w="1280" w:type="dxa"/>
            <w:vAlign w:val="bottom"/>
            <w:gridSpan w:val="2"/>
            <w:vMerge w:val="restart"/>
          </w:tcPr>
          <w:p>
            <w:pPr>
              <w:jc w:val="right"/>
              <w:ind w:right="900"/>
              <w:spacing w:after="0" w:line="129" w:lineRule="exact"/>
              <w:rPr>
                <w:sz w:val="20"/>
                <w:szCs w:val="20"/>
                <w:color w:val="auto"/>
              </w:rPr>
            </w:pPr>
            <w:r>
              <w:rPr>
                <w:rFonts w:ascii="Arial" w:cs="Arial" w:eastAsia="Arial" w:hAnsi="Arial"/>
                <w:sz w:val="14"/>
                <w:szCs w:val="14"/>
                <w:b w:val="1"/>
                <w:bCs w:val="1"/>
                <w:color w:val="auto"/>
                <w:w w:val="87"/>
              </w:rPr>
              <w:t>March</w:t>
            </w:r>
          </w:p>
        </w:tc>
        <w:tc>
          <w:tcPr>
            <w:tcW w:w="1420" w:type="dxa"/>
            <w:vAlign w:val="bottom"/>
            <w:gridSpan w:val="2"/>
            <w:vMerge w:val="restart"/>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60" w:type="dxa"/>
            <w:vAlign w:val="bottom"/>
            <w:vMerge w:val="restart"/>
          </w:tcPr>
          <w:p>
            <w:pPr>
              <w:spacing w:after="0"/>
              <w:rPr>
                <w:sz w:val="12"/>
                <w:szCs w:val="12"/>
                <w:color w:val="auto"/>
              </w:rPr>
            </w:pPr>
          </w:p>
        </w:tc>
        <w:tc>
          <w:tcPr>
            <w:tcW w:w="2120" w:type="dxa"/>
            <w:vAlign w:val="bottom"/>
            <w:gridSpan w:val="2"/>
          </w:tcPr>
          <w:p>
            <w:pPr>
              <w:jc w:val="center"/>
              <w:ind w:left="1626"/>
              <w:spacing w:after="0" w:line="149" w:lineRule="exact"/>
              <w:rPr>
                <w:sz w:val="20"/>
                <w:szCs w:val="20"/>
                <w:color w:val="auto"/>
              </w:rPr>
            </w:pPr>
            <w:r>
              <w:rPr>
                <w:rFonts w:ascii="Arial" w:cs="Arial" w:eastAsia="Arial" w:hAnsi="Arial"/>
                <w:sz w:val="14"/>
                <w:szCs w:val="14"/>
                <w:b w:val="1"/>
                <w:bCs w:val="1"/>
                <w:color w:val="auto"/>
                <w:w w:val="92"/>
              </w:rPr>
              <w:t>29,</w:t>
            </w:r>
          </w:p>
        </w:tc>
        <w:tc>
          <w:tcPr>
            <w:tcW w:w="8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860" w:type="dxa"/>
            <w:vAlign w:val="bottom"/>
          </w:tcPr>
          <w:p>
            <w:pPr>
              <w:spacing w:after="0"/>
              <w:rPr>
                <w:sz w:val="12"/>
                <w:szCs w:val="12"/>
                <w:color w:val="auto"/>
              </w:rPr>
            </w:pPr>
          </w:p>
        </w:tc>
        <w:tc>
          <w:tcPr>
            <w:tcW w:w="14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120" w:type="dxa"/>
            <w:vAlign w:val="bottom"/>
            <w:gridSpan w:val="2"/>
          </w:tcPr>
          <w:p>
            <w:pPr>
              <w:jc w:val="center"/>
              <w:ind w:left="1626"/>
              <w:spacing w:after="0" w:line="148" w:lineRule="exact"/>
              <w:rPr>
                <w:sz w:val="20"/>
                <w:szCs w:val="20"/>
                <w:color w:val="auto"/>
              </w:rPr>
            </w:pPr>
            <w:r>
              <w:rPr>
                <w:rFonts w:ascii="Arial" w:cs="Arial" w:eastAsia="Arial" w:hAnsi="Arial"/>
                <w:sz w:val="14"/>
                <w:szCs w:val="14"/>
                <w:b w:val="1"/>
                <w:bCs w:val="1"/>
                <w:color w:val="auto"/>
                <w:w w:val="83"/>
              </w:rPr>
              <w:t>2013</w:t>
            </w:r>
          </w:p>
        </w:tc>
        <w:tc>
          <w:tcPr>
            <w:tcW w:w="86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860" w:type="dxa"/>
            <w:vAlign w:val="bottom"/>
          </w:tcPr>
          <w:p>
            <w:pPr>
              <w:spacing w:after="0"/>
              <w:rPr>
                <w:sz w:val="12"/>
                <w:szCs w:val="12"/>
                <w:color w:val="auto"/>
              </w:rPr>
            </w:pPr>
          </w:p>
        </w:tc>
        <w:tc>
          <w:tcPr>
            <w:tcW w:w="142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7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2"/>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$ 85.5</w:t>
            </w:r>
          </w:p>
        </w:tc>
        <w:tc>
          <w:tcPr>
            <w:tcW w:w="8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$ 50.7</w:t>
            </w:r>
          </w:p>
        </w:tc>
        <w:tc>
          <w:tcPr>
            <w:tcW w:w="8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34.8</w:t>
            </w:r>
          </w:p>
        </w:tc>
        <w:tc>
          <w:tcPr>
            <w:tcW w:w="8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980" w:type="dxa"/>
            <w:vAlign w:val="bottom"/>
            <w:gridSpan w:val="3"/>
          </w:tcPr>
          <w:p>
            <w:pPr>
              <w:jc w:val="right"/>
              <w:ind w:right="700"/>
              <w:spacing w:after="0"/>
              <w:rPr>
                <w:sz w:val="20"/>
                <w:szCs w:val="20"/>
                <w:color w:val="auto"/>
              </w:rPr>
            </w:pPr>
            <w:r>
              <w:rPr>
                <w:rFonts w:ascii="Arial" w:cs="Arial" w:eastAsia="Arial" w:hAnsi="Arial"/>
                <w:sz w:val="18"/>
                <w:szCs w:val="18"/>
                <w:color w:val="auto"/>
              </w:rPr>
              <w:t>16.2%</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our government systems segment operating profit of $34.8 million during fiscal year 2013 compared to fiscal year 2012 was primarily due to higher earnings contributions of approximately $43.9 million mainly in our government satellite communication systems, offset by higher selling, support and new business proposal costs of approximately $5.4 million, and higher IR&amp;D costs of $3.8 million.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reflected in the table below, our overall firm and funded backlog increased during fiscal year 2014, primarily due to an increase in new contract awards in our satellite services segment. However, on a segment basis, firm and funded backlog decreased in our government systems and commercial networks segments during fiscal year 2014. The decrease in firm and funded backlog in our government systems segment reflects lumpiness in timing of awards. Within our commercial networks segment the decrease in firm and funded backlog reflects higher new contract awards in fiscal year 2013 and the attainment of contractual milestones in existing awards.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April 4, 2014</w:t>
            </w:r>
          </w:p>
        </w:tc>
        <w:tc>
          <w:tcPr>
            <w:tcW w:w="20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160.2</w:t>
            </w: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r>
              <w:rPr>
                <w:rFonts w:ascii="Arial" w:cs="Arial" w:eastAsia="Arial" w:hAnsi="Arial"/>
                <w:sz w:val="18"/>
                <w:szCs w:val="18"/>
                <w:u w:val="single" w:color="auto"/>
                <w:color w:val="auto"/>
              </w:rPr>
              <w:t>5</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457.4</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852.</w:t>
            </w:r>
            <w:r>
              <w:rPr>
                <w:rFonts w:ascii="Arial" w:cs="Arial" w:eastAsia="Arial" w:hAnsi="Arial"/>
                <w:sz w:val="18"/>
                <w:szCs w:val="18"/>
                <w:u w:val="single" w:color="auto"/>
                <w:color w:val="auto"/>
              </w:rPr>
              <w:t>6</w:t>
            </w: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$899.5 million in firm backlog, $451.6 million is expected to be delivered in fiscal year 2015, and the balance is expected to be delivered in fiscal year 2016 and thereafter. We include in our backlog only those orders for which we have accepted purchase orders.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total new awards were $1,425.9 million, $1,373.4 million and $1,008.6 million for fiscal years 2014, 2013 and 2012, respectively. New contract awards in fiscal year 2014 were a record for us.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At April 4, 2014, we had $58.3 million in cash and cash equivalents, $256.8 million in working capital and $105.0 million in outstanding borrowings under our Credit Facility. At March 29, 2013, we had $105.7 million in cash and cash equivalents, $297.7 million in working</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capital and no outstanding borrowings under our Credit Facility. We invest our cash in excess of current operating requirements in short-term, interest-bearing, investment-grade securities.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further enhance our liquidity position, we may obtain additional financing, which could consist of debt, convertible debt or equity financing from public and/or private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Cash provided by operating activities for fiscal year 2014 was $205.1 million compared to cash provided by operating activities of $91.8 million for fiscal year 2013. This $113.3 million increase was primarily driven by our operating results (net loss adjusted for depreciation, amortization and other non-cash charges) which generated $106.8 million of higher cash inflows, coupled with a $13.6 million year-over-year decrease in cash used to fund net operating assets needs. The decrease in cash used to fund net operating assets during fiscal year 2014 when compared to fiscal year 2013 was partially due to an increase in cash from the collection of billed accounts receivable in our government systems segment, offset partially by an increase in cash used for inventory in our commercial networks segment. Cash provided by operating activities for fiscal year 2013 included a $7.1 million net cash inflow related to our refinancing of the 2016 Notes.</w:t>
      </w:r>
    </w:p>
    <w:p>
      <w:pPr>
        <w:spacing w:after="0" w:line="10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used in investing activities for fiscal year 2014 was $354.5 million compared to cash used in investing activities in fiscal year 2013 of $201.6 million. The increase in cash used in investing activities reflected $119.2 million in cash used during fiscal year 2014 for the construction of our ViaSat-2 satellite, as well as a $23.7 million increase in capital expenditures year-over-year for other general purpose equipment.</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Cash provided by financing activities for fiscal year 2014 was $101.8 million compared to cash provided by financing activities of $42.9 million for fiscal year 2013. This $58.9 million increase in cash provided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financing activities was primarily related to the $105.0 million in net proceeds from borrowings under our Credit Facility, offset by debt issuance costs of $2.5 million during fiscal year 2014, compared to no borrowings in the prior year period. Cash provided by financing activities for fiscal year 2013 reflected the issuance of $300.0 million in aggregate principal amount of additional 2020 Notes, offset by the repurchase and redemption of all of our $275.0 million in aggregate principal amount of 2016 Notes and debt issuance costs of $8.1 million.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Comparing fiscal year 2013 cash flow to fiscal year 2012, the $49.7 million decrease in cash provided by operating activities was primarily driven by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(net loss adjusted for depreciation, amortization and other non-cash charges) which generated $32.8 million of higher cash outflows, coupled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$24.0 million year-over-year increase in cash used to fund net operating assets needs, offset by a $7.1 million net cash inflow related to our refinancing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2016 Notes. The decrease in cash used in investing activities resulted primarily from a reduction of $63.2 million in cash payments for the ViaSat-1 satellite,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placed in service in January 2012, and a reduction of $37.5 million in cash used for the related ViaSat-1 ground network and operating systems,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$72.1 million in higher capital expenditures for new CPE units and other general purpose equipment. Cash provided by financing activities for fiscal year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reflected the issuance in October 2012 of $300.0 million in aggregate principal amount of 2020 Notes, partially offset by the repurchase and redemption of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$275.0 million in aggregate principal amount of 2016 Notes and $8.1 million in debt issuance costs. Cash provided by financing activities for fiscal year 2012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the issuance in February 2012 of $275.0 million in aggregate principal amount of 2020 Notes.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and the cash we expect to generate from operations over the next few years.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incurred higher operating costs in connection with the late fiscal year 2012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operating costs included costs associated with depreciation, gateway connectivity, subscriber acquisition costs, logistics, customer care and various support systems. These additional operating costs attributed to our Exede service commencement have negatively impacted income from operations during recent fiscal years. However, as the total number of subscribers of our Exede broadband services increased, the resultant increase in service revenues in our satellite services segment has improved income (loss) from operations for that segment over time, despite the additional litigation expense we have incurred to protect our proprietary technology. Nonetheless, there can be no assurance that the number of subscribers of our Exede broadband services and service revenues in our satellite services segment will continue to increase. We also expect to continue to invest in subscriber acquisition costs during fiscal year 2015 as we further expand our subscriber base as well as make additional investments for the construction of ViaSat-2.</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As of April 4, 2014, the Credit Facility provided a $500.0 million revolving line of credit (including up to $150.0 million of letters of credit) with a maturity date of November 26, 2018. We entered into the Credit Facility in November 2013 to replace our former $325.0 million revolving credit facility.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April 4, 2014, the weighted average effective interest rate on our outstanding borrowings under the Credit Facility was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2.41%. The Credit Facility is required to be guaranteed by certain significant domestic subsidiaries of ViaSat (as defined in the Credit Facility) and secured by substantially all of our assets. As of April 4, 2014, none of our subsidiaries guaranteed the Credit Facility.</w:t>
      </w:r>
    </w:p>
    <w:p>
      <w:pPr>
        <w:spacing w:after="0" w:line="13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At April 4, 2014, we had $105.0 million in principal amount of outstanding borrowings under the Credit Facility and $39.5 million outstanding under standby letters of credit, leaving borrowing availability under the Credit Facility as of April 4, 2014 of $355.5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consolidated financial statements. On 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consolidated financial statements and is being amortized as a reduction to interest expense on an effective interest rate basis over the term of those 2020 Notes.</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Credit Facility. During the second quarter of fiscal year 2014, the last remaining subsidiary guarantor, ViaSat Communications, Inc., was merged into ViaSat. Accordingly, as of April 4, 2014,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sell or otherwise dispose of assets; enter into transactions with affiliates; reduce our satellite insurance; and consolidate or merge with, or sell substantially all of their assets to, another person.</w:t>
      </w:r>
    </w:p>
    <w:p>
      <w:pPr>
        <w:spacing w:after="0" w:line="132"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90" w:lineRule="auto"/>
        <w:tabs>
          <w:tab w:leader="none" w:pos="2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our issuance of the additional $300.0 million of 2020 Notes issued in October 2012, we repurchased and redeemed all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$275.0 million in aggregate principal amount of 2016 Notes then outstanding through a cash tender offer and redemption, and the indenture governing the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was satisfied and discharged in accordance with its terms. As a result of the repurchase and redemption of the 2016 Notes, we recognized a $26.5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on extinguishment of debt during fiscal year 2013, which was comprised of $19.8 million in cash payments (including tender offer consideration, consent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redemption premium and related professional fees), and $6.7 million in non-cash charges (including unamortized discount and unamortized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April 4,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17"/>
              <w:spacing w:after="0"/>
              <w:rPr>
                <w:sz w:val="20"/>
                <w:szCs w:val="20"/>
                <w:color w:val="auto"/>
              </w:rPr>
            </w:pPr>
            <w:r>
              <w:rPr>
                <w:rFonts w:ascii="Arial" w:cs="Arial" w:eastAsia="Arial" w:hAnsi="Arial"/>
                <w:sz w:val="14"/>
                <w:szCs w:val="14"/>
                <w:b w:val="1"/>
                <w:bCs w:val="1"/>
                <w:color w:val="auto"/>
                <w:w w:val="90"/>
              </w:rPr>
              <w:t>For the Fiscal Years Ending</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7"/>
              <w:spacing w:after="0" w:line="136"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7"/>
              <w:spacing w:after="0" w:line="136"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8"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7"/>
              <w:spacing w:after="0" w:line="14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7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188,572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61,530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48,951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30,620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831,953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79,063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634,296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109,231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Satellite performance incentives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354,009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216,109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1,794,532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461,346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353,980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247,353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731,853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100" w:hanging="212"/>
        <w:spacing w:after="0" w:line="25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Credit Facility may fluctuate, amounts reflected represent estimated interest payments on our current outstanding balances based on the weighted average effective interest rate at April 4, 2014 until the date of the revolving line of credit maturity in the principle repayment on November 2018.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See “Liquidity and Capital Resources — Satellite service-related activities.”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balance sheets included $48.9 million and $52.6 million of “other liabilities” as of April 4, 2014 and March 29, 2013, respectively, which primarily consisted of the long-term portion of our satellite performance incentives obligation, our long-term warranty obligations, the long-term portion of deferred rent, long-term portion of deferred revenue, long-term deferred income taxes and long-term unrecognized tax position liabilities. With the exception of the long-term portion of our satellite performance incentives obligation, these remaining liabilities have been excluded from the above table as the timing and/or the amount of any cash payment is uncertain. See Note 8 to our consolidated financial statements for additional information regarding our income taxes and related tax positions and Note 12 to our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had no material off-balance sheet arrangements at April 4, 2014 as defined in Regulation S-K Item 303(a)(4) other than as discussed under Contractual Obligations above or disclosed in the notes to our consolidated financial statements included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regarding recently adopted and issued accounting pronouncements, see Note 1 to the consolidated financial statements</w:t>
      </w:r>
      <w:r>
        <w:rPr>
          <w:rFonts w:ascii="Arial" w:cs="Arial" w:eastAsia="Arial" w:hAnsi="Arial"/>
          <w:sz w:val="18"/>
          <w:szCs w:val="18"/>
          <w:i w:val="1"/>
          <w:iCs w:val="1"/>
          <w:color w:val="auto"/>
        </w:rPr>
        <w:t>.</w:t>
      </w:r>
    </w:p>
    <w:p>
      <w:pPr>
        <w:spacing w:after="0" w:line="246" w:lineRule="exact"/>
        <w:rPr>
          <w:sz w:val="20"/>
          <w:szCs w:val="20"/>
          <w:color w:val="auto"/>
        </w:rPr>
      </w:pPr>
    </w:p>
    <w:p>
      <w:pPr>
        <w:ind w:right="4580"/>
        <w:spacing w:after="0" w:line="347"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April 4, 2014, we had $105.0 million in principal amount of outstanding borrowings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and $0.4 million for the fiscal years ended April 4, 2014 and March 29, 2013, respectively. Because our investment policy restricts us to invest in conservative,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interest-bearing investments and because our business strategy does not rely on generating material returns from our investment portfolio, we do not expect our market risk exposure on our investment portfolio to be material.</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April 4, 2014, we had $105.0 million in principal amount of outstanding borrowings under our Credit Facility. Our primary interest rate under the Credit Facility is the Eurodollar rate plus an applicable margin that is based on our total leverage ratio. At April 4, 2014, the weighted average effective interest rate on our outstanding borrowings under the Credit Facility was 2.41%. Assuming the outstanding balance remained constant over a year, a 50 basis point increase in the interest rate would increase interest incurred, prior to effects of capitalized interest, by approximately $0.5 million over a twelve-month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April 4, 2014, we had a number of foreign currency forward contracts outstanding which are intended to reduce the foreign currency risk for amounts payable to vendors in Euros. The foreign currency forward contracts with a notional amount of $3.3 million had a fair value of less than $0.1 million and were recorded in other current assets as of April 4, 2014. If the foreign currency forward rate for the Euro to the U.S. dollar on these foreign currency forward contracts had changed by 10%, the fair value of these foreign currency forward contracts as of April 4, 2014 would have changed by approximately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consolidated financial statements at April 4, 2014 and March 29, 2013 and for each of the three fiscal years in the period ended April 4, 2014, and the Report of PricewaterhouseCoopers LLP, Independent Registered Public Accounting Firm, are included in this report on pages F-1 through F-39.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2014 and 2013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w w:val="88"/>
              </w:rPr>
              <w:t>1st Quarter</w:t>
            </w:r>
          </w:p>
        </w:tc>
        <w:tc>
          <w:tcPr>
            <w:tcW w:w="1300" w:type="dxa"/>
            <w:vAlign w:val="bottom"/>
          </w:tcPr>
          <w:p>
            <w:pPr>
              <w:jc w:val="right"/>
              <w:ind w:right="215"/>
              <w:spacing w:after="0"/>
              <w:rPr>
                <w:sz w:val="20"/>
                <w:szCs w:val="20"/>
                <w:color w:val="auto"/>
              </w:rPr>
            </w:pPr>
            <w:r>
              <w:rPr>
                <w:rFonts w:ascii="Arial" w:cs="Arial" w:eastAsia="Arial" w:hAnsi="Arial"/>
                <w:sz w:val="14"/>
                <w:szCs w:val="14"/>
                <w:b w:val="1"/>
                <w:bCs w:val="1"/>
                <w:color w:val="auto"/>
              </w:rPr>
              <w:t>2nd Quarter</w:t>
            </w: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3rd Quarter</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4th Quarter</w:t>
            </w:r>
          </w:p>
        </w:tc>
      </w:tr>
      <w:tr>
        <w:trPr>
          <w:trHeight w:val="142"/>
        </w:trPr>
        <w:tc>
          <w:tcPr>
            <w:tcW w:w="4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revenues</w:t>
            </w:r>
          </w:p>
        </w:tc>
        <w:tc>
          <w:tcPr>
            <w:tcW w:w="3440" w:type="dxa"/>
            <w:vAlign w:val="bottom"/>
            <w:gridSpan w:val="2"/>
          </w:tcPr>
          <w:p>
            <w:pPr>
              <w:jc w:val="right"/>
              <w:ind w:right="192"/>
              <w:spacing w:after="0"/>
              <w:rPr>
                <w:sz w:val="20"/>
                <w:szCs w:val="20"/>
                <w:color w:val="auto"/>
              </w:rPr>
            </w:pPr>
            <w:r>
              <w:rPr>
                <w:rFonts w:ascii="Arial" w:cs="Arial" w:eastAsia="Arial" w:hAnsi="Arial"/>
                <w:sz w:val="18"/>
                <w:szCs w:val="18"/>
                <w:color w:val="auto"/>
              </w:rPr>
              <w:t>$321,102</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$ 353,881</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$ 332,555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$ 343,924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3,424</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(510)</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1,524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(loss) income</w:t>
            </w:r>
          </w:p>
        </w:tc>
        <w:tc>
          <w:tcPr>
            <w:tcW w:w="3440" w:type="dxa"/>
            <w:vAlign w:val="bottom"/>
            <w:gridSpan w:val="2"/>
          </w:tcPr>
          <w:p>
            <w:pPr>
              <w:jc w:val="right"/>
              <w:ind w:right="132"/>
              <w:spacing w:after="0"/>
              <w:rPr>
                <w:sz w:val="20"/>
                <w:szCs w:val="20"/>
                <w:color w:val="auto"/>
              </w:rPr>
            </w:pPr>
            <w:r>
              <w:rPr>
                <w:rFonts w:ascii="Arial" w:cs="Arial" w:eastAsia="Arial" w:hAnsi="Arial"/>
                <w:sz w:val="18"/>
                <w:szCs w:val="18"/>
                <w:color w:val="auto"/>
              </w:rPr>
              <w:t>(1,487)</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2,281</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(5,960)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(3,491)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ViaSat, Inc.</w:t>
            </w:r>
          </w:p>
        </w:tc>
        <w:tc>
          <w:tcPr>
            <w:tcW w:w="3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(1,834)</w:t>
            </w:r>
          </w:p>
        </w:tc>
        <w:tc>
          <w:tcPr>
            <w:tcW w:w="13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1,897</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(5,993)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Basic net (loss) income per share</w:t>
            </w:r>
          </w:p>
        </w:tc>
        <w:tc>
          <w:tcPr>
            <w:tcW w:w="3440" w:type="dxa"/>
            <w:vAlign w:val="bottom"/>
            <w:gridSpan w:val="2"/>
          </w:tcPr>
          <w:p>
            <w:pPr>
              <w:jc w:val="right"/>
              <w:ind w:right="132"/>
              <w:spacing w:after="0"/>
              <w:rPr>
                <w:sz w:val="20"/>
                <w:szCs w:val="20"/>
                <w:color w:val="auto"/>
              </w:rPr>
            </w:pPr>
            <w:r>
              <w:rPr>
                <w:rFonts w:ascii="Arial" w:cs="Arial" w:eastAsia="Arial" w:hAnsi="Arial"/>
                <w:sz w:val="18"/>
                <w:szCs w:val="18"/>
                <w:color w:val="auto"/>
              </w:rPr>
              <w:t>(0.04)</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0.04</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(0.13)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3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(0.04)</w:t>
            </w:r>
          </w:p>
        </w:tc>
        <w:tc>
          <w:tcPr>
            <w:tcW w:w="13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0.04</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(0.13)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$241,763</w:t>
            </w:r>
          </w:p>
        </w:tc>
        <w:tc>
          <w:tcPr>
            <w:tcW w:w="13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$ 282,822</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$ 286,442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$ 308,663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3440" w:type="dxa"/>
            <w:vAlign w:val="bottom"/>
            <w:gridSpan w:val="2"/>
          </w:tcPr>
          <w:p>
            <w:pPr>
              <w:jc w:val="right"/>
              <w:ind w:right="132"/>
              <w:spacing w:after="0"/>
              <w:rPr>
                <w:sz w:val="20"/>
                <w:szCs w:val="20"/>
                <w:color w:val="auto"/>
              </w:rPr>
            </w:pPr>
            <w:r>
              <w:rPr>
                <w:rFonts w:ascii="Arial" w:cs="Arial" w:eastAsia="Arial" w:hAnsi="Arial"/>
                <w:sz w:val="18"/>
                <w:szCs w:val="18"/>
                <w:color w:val="auto"/>
              </w:rPr>
              <w:t>(13,789)</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(859)</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1,266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(6,980)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(14,433)</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(7,857)</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(20,614)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(loss) income attributable to ViaSat, Inc.</w:t>
            </w:r>
          </w:p>
        </w:tc>
        <w:tc>
          <w:tcPr>
            <w:tcW w:w="3440" w:type="dxa"/>
            <w:vAlign w:val="bottom"/>
            <w:gridSpan w:val="2"/>
          </w:tcPr>
          <w:p>
            <w:pPr>
              <w:jc w:val="right"/>
              <w:ind w:right="132"/>
              <w:spacing w:after="0"/>
              <w:rPr>
                <w:sz w:val="20"/>
                <w:szCs w:val="20"/>
                <w:color w:val="auto"/>
              </w:rPr>
            </w:pPr>
            <w:r>
              <w:rPr>
                <w:rFonts w:ascii="Arial" w:cs="Arial" w:eastAsia="Arial" w:hAnsi="Arial"/>
                <w:sz w:val="18"/>
                <w:szCs w:val="18"/>
                <w:color w:val="auto"/>
              </w:rPr>
              <w:t>(14,420)</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(7,907)</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(20,776)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share</w:t>
            </w:r>
          </w:p>
        </w:tc>
        <w:tc>
          <w:tcPr>
            <w:tcW w:w="3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(0.33)</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(0.18)</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Diluted net (loss) income per share</w:t>
            </w:r>
          </w:p>
        </w:tc>
        <w:tc>
          <w:tcPr>
            <w:tcW w:w="3440" w:type="dxa"/>
            <w:vAlign w:val="bottom"/>
            <w:gridSpan w:val="2"/>
          </w:tcPr>
          <w:p>
            <w:pPr>
              <w:jc w:val="right"/>
              <w:ind w:right="132"/>
              <w:spacing w:after="0"/>
              <w:rPr>
                <w:sz w:val="20"/>
                <w:szCs w:val="20"/>
                <w:color w:val="auto"/>
              </w:rPr>
            </w:pPr>
            <w:r>
              <w:rPr>
                <w:rFonts w:ascii="Arial" w:cs="Arial" w:eastAsia="Arial" w:hAnsi="Arial"/>
                <w:sz w:val="18"/>
                <w:szCs w:val="18"/>
                <w:color w:val="auto"/>
              </w:rPr>
              <w:t>(0.33)</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(0.18)</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(0.47)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356"/>
        </w:trPr>
        <w:tc>
          <w:tcPr>
            <w:tcW w:w="4380" w:type="dxa"/>
            <w:vAlign w:val="bottom"/>
          </w:tcPr>
          <w:p>
            <w:pPr>
              <w:spacing w:after="0"/>
              <w:rPr>
                <w:sz w:val="24"/>
                <w:szCs w:val="24"/>
                <w:color w:val="auto"/>
              </w:rPr>
            </w:pPr>
          </w:p>
        </w:tc>
        <w:tc>
          <w:tcPr>
            <w:tcW w:w="2500" w:type="dxa"/>
            <w:vAlign w:val="bottom"/>
          </w:tcPr>
          <w:p>
            <w:pPr>
              <w:jc w:val="right"/>
              <w:ind w:right="992"/>
              <w:spacing w:after="0"/>
              <w:rPr>
                <w:sz w:val="20"/>
                <w:szCs w:val="20"/>
                <w:color w:val="auto"/>
              </w:rPr>
            </w:pPr>
            <w:r>
              <w:rPr>
                <w:rFonts w:ascii="Arial" w:cs="Arial" w:eastAsia="Arial" w:hAnsi="Arial"/>
                <w:sz w:val="18"/>
                <w:szCs w:val="18"/>
                <w:color w:val="auto"/>
              </w:rPr>
              <w:t>63</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Summarized quarterly data for the third quarter of fiscal year 2013 reflects a $26.5 million loss on extinguishment of debt. Refer to Note 5 to the consolidated financial statements for discussion of the refinancing of the 2016 Notes and associated loss on extinguishment of debt.</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Basic and diluted net income (loss) per share are computed independently for each of the quarters presented. Therefore, the sum of quarterly basic and diluted per share information may not equal annual basic and diluted net income (loss)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April 4, 2014, the end of the period covered by this report. Based upon the foregoing, our Chief Executive Officer and Chief Financial Officer concluded that our disclosure controls and procedures were effective at a reasonable assurance level as of April 4,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Based on this evaluation, the company’s management concluded that its internal control over financial reporting was effective as of April 4, 2014.</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April 4, 2014, as stated in their report which appears on page F-1.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April 4, 2014,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2014 Annual Meeting of Stockholders (the Proxy Statement) under the headings “Corporate Governance Principles and Board Matters,” “Election of Directors” and “Ownership of Securities,” and is incorporated herein by reference.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40" w:type="dxa"/>
            <w:vAlign w:val="bottom"/>
            <w:gridSpan w:val="4"/>
          </w:tcPr>
          <w:p>
            <w:pPr>
              <w:ind w:left="6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380" w:type="dxa"/>
            <w:vAlign w:val="bottom"/>
            <w:gridSpan w:val="5"/>
            <w:vMerge w:val="restart"/>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(1) Report of Independent Registered Public Accounting Firm</w:t>
              </w:r>
            </w:hyperlink>
          </w:p>
        </w:tc>
        <w:tc>
          <w:tcPr>
            <w:tcW w:w="6460" w:type="dxa"/>
            <w:vAlign w:val="bottom"/>
            <w:gridSpan w:val="5"/>
            <w:vMerge w:val="restart"/>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61"/>
        </w:trPr>
        <w:tc>
          <w:tcPr>
            <w:tcW w:w="4380" w:type="dxa"/>
            <w:vAlign w:val="bottom"/>
            <w:tcBorders>
              <w:bottom w:val="single" w:sz="8" w:color="0000EE"/>
            </w:tcBorders>
            <w:gridSpan w:val="5"/>
            <w:vMerge w:val="continue"/>
          </w:tcPr>
          <w:p>
            <w:pPr>
              <w:spacing w:after="0"/>
              <w:rPr>
                <w:sz w:val="13"/>
                <w:szCs w:val="13"/>
                <w:color w:val="auto"/>
              </w:rPr>
            </w:pPr>
          </w:p>
        </w:tc>
        <w:tc>
          <w:tcPr>
            <w:tcW w:w="6460" w:type="dxa"/>
            <w:vAlign w:val="bottom"/>
            <w:gridSpan w:val="5"/>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0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Balance Sheets as of April 4, 2014 and March 29, 2013</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00" w:type="dxa"/>
            <w:vAlign w:val="bottom"/>
            <w:gridSpan w:val="9"/>
          </w:tcPr>
          <w:p>
            <w:pPr>
              <w:spacing w:after="0" w:line="196"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Consolidated Statements of Operations and Comprehensive Income (Loss) for the fiscal years ended April 4, 2014, March 29, 2013 and</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March 30, 2012</w:t>
              </w:r>
            </w:hyperlink>
          </w:p>
        </w:tc>
        <w:tc>
          <w:tcPr>
            <w:tcW w:w="8200" w:type="dxa"/>
            <w:vAlign w:val="bottom"/>
            <w:tcBorders>
              <w:top w:val="single" w:sz="8" w:color="0000EE"/>
            </w:tcBorders>
            <w:gridSpan w:val="6"/>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3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Statements of Cash Flows for the fiscal years ended April 4, 2014, March 29, 2013 and March 30, 2012</w:t>
              </w:r>
            </w:hyperlink>
          </w:p>
        </w:tc>
        <w:tc>
          <w:tcPr>
            <w:tcW w:w="210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00" w:type="dxa"/>
            <w:vAlign w:val="bottom"/>
            <w:gridSpan w:val="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Equity for the fiscal years ended April 4, 2014, March 29, 2013 and March 30, 2012</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Notes to the Consolidated Financial Statements</w:t>
              </w:r>
            </w:hyperlink>
          </w:p>
        </w:tc>
        <w:tc>
          <w:tcPr>
            <w:tcW w:w="458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840" w:type="dxa"/>
            <w:vAlign w:val="bottom"/>
            <w:gridSpan w:val="10"/>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(2) Schedule II — Valuation and Qualifying Accounts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68 is incorporated herein by reference as the list of exhibits required as part of this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2014</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Bruce Dirks,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24"/>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w w:val="95"/>
              </w:rPr>
              <w:t>Chairman of the Board and</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190"/>
        </w:trPr>
        <w:tc>
          <w:tcPr>
            <w:tcW w:w="2520" w:type="dxa"/>
            <w:vAlign w:val="bottom"/>
            <w:gridSpan w:val="2"/>
          </w:tcPr>
          <w:p>
            <w:pPr>
              <w:spacing w:after="0" w:line="190" w:lineRule="exact"/>
              <w:rPr>
                <w:sz w:val="20"/>
                <w:szCs w:val="20"/>
                <w:color w:val="auto"/>
              </w:rPr>
            </w:pPr>
            <w:r>
              <w:rPr>
                <w:rFonts w:ascii="Arial" w:cs="Arial" w:eastAsia="Arial" w:hAnsi="Arial"/>
                <w:sz w:val="18"/>
                <w:szCs w:val="18"/>
                <w:color w:val="auto"/>
              </w:rPr>
              <w:t>Mark Dankberg</w:t>
            </w:r>
          </w:p>
        </w:tc>
        <w:tc>
          <w:tcPr>
            <w:tcW w:w="1900" w:type="dxa"/>
            <w:vAlign w:val="bottom"/>
          </w:tcPr>
          <w:p>
            <w:pPr>
              <w:spacing w:after="0"/>
              <w:rPr>
                <w:sz w:val="16"/>
                <w:szCs w:val="16"/>
                <w:color w:val="auto"/>
              </w:rPr>
            </w:pPr>
          </w:p>
        </w:tc>
        <w:tc>
          <w:tcPr>
            <w:tcW w:w="458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Chief Executive Officer</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2"/>
        </w:trPr>
        <w:tc>
          <w:tcPr>
            <w:tcW w:w="1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6"/>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BRUCE DIRKS</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218"/>
        </w:trPr>
        <w:tc>
          <w:tcPr>
            <w:tcW w:w="2520" w:type="dxa"/>
            <w:vAlign w:val="bottom"/>
            <w:gridSpan w:val="2"/>
          </w:tcPr>
          <w:p>
            <w:pPr>
              <w:spacing w:after="0"/>
              <w:rPr>
                <w:sz w:val="20"/>
                <w:szCs w:val="20"/>
                <w:color w:val="auto"/>
              </w:rPr>
            </w:pPr>
            <w:r>
              <w:rPr>
                <w:rFonts w:ascii="Arial" w:cs="Arial" w:eastAsia="Arial" w:hAnsi="Arial"/>
                <w:sz w:val="18"/>
                <w:szCs w:val="18"/>
                <w:color w:val="auto"/>
              </w:rPr>
              <w:t>Bruce Dirks</w:t>
            </w:r>
          </w:p>
        </w:tc>
        <w:tc>
          <w:tcPr>
            <w:tcW w:w="1900" w:type="dxa"/>
            <w:vAlign w:val="bottom"/>
          </w:tcPr>
          <w:p>
            <w:pPr>
              <w:spacing w:after="0"/>
              <w:rPr>
                <w:sz w:val="18"/>
                <w:szCs w:val="18"/>
                <w:color w:val="auto"/>
              </w:rPr>
            </w:pPr>
          </w:p>
        </w:tc>
        <w:tc>
          <w:tcPr>
            <w:tcW w:w="45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Financial Officer)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7"/>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SHAWN DUFFY</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w w:val="95"/>
              </w:rPr>
              <w:t>Vice President, Corporate Controller and Chief Accounting</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190"/>
        </w:trPr>
        <w:tc>
          <w:tcPr>
            <w:tcW w:w="2520" w:type="dxa"/>
            <w:vAlign w:val="bottom"/>
            <w:gridSpan w:val="2"/>
          </w:tcPr>
          <w:p>
            <w:pPr>
              <w:spacing w:after="0" w:line="190" w:lineRule="exact"/>
              <w:rPr>
                <w:sz w:val="20"/>
                <w:szCs w:val="20"/>
                <w:color w:val="auto"/>
              </w:rPr>
            </w:pPr>
            <w:r>
              <w:rPr>
                <w:rFonts w:ascii="Arial" w:cs="Arial" w:eastAsia="Arial" w:hAnsi="Arial"/>
                <w:sz w:val="18"/>
                <w:szCs w:val="18"/>
                <w:color w:val="auto"/>
              </w:rPr>
              <w:t>Shawn Duffy</w:t>
            </w:r>
          </w:p>
        </w:tc>
        <w:tc>
          <w:tcPr>
            <w:tcW w:w="1900" w:type="dxa"/>
            <w:vAlign w:val="bottom"/>
          </w:tcPr>
          <w:p>
            <w:pPr>
              <w:spacing w:after="0"/>
              <w:rPr>
                <w:sz w:val="16"/>
                <w:szCs w:val="16"/>
                <w:color w:val="auto"/>
              </w:rPr>
            </w:pPr>
          </w:p>
        </w:tc>
        <w:tc>
          <w:tcPr>
            <w:tcW w:w="458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Officer</w:t>
            </w: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2"/>
        </w:trPr>
        <w:tc>
          <w:tcPr>
            <w:tcW w:w="1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7"/>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BOWMAN</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Robert Bowman</w:t>
            </w:r>
          </w:p>
        </w:tc>
        <w:tc>
          <w:tcPr>
            <w:tcW w:w="1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JOHNSON</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ALLEN LAY</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Allen Lay</w:t>
            </w:r>
          </w:p>
        </w:tc>
        <w:tc>
          <w:tcPr>
            <w:tcW w:w="1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NASH</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STENBIT</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1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HARVEY WHITE</w:t>
            </w:r>
          </w:p>
        </w:tc>
        <w:tc>
          <w:tcPr>
            <w:tcW w:w="190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May 23, 2014</w:t>
            </w: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70"/>
        </w:trPr>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gridSpan w:val="2"/>
          </w:tcPr>
          <w:p>
            <w:pPr>
              <w:jc w:val="right"/>
              <w:ind w:right="732"/>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80" w:type="dxa"/>
            <w:vAlign w:val="bottom"/>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462"/>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26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260" w:type="dxa"/>
            <w:vAlign w:val="bottom"/>
          </w:tcPr>
          <w:p>
            <w:pPr>
              <w:spacing w:after="0"/>
              <w:rPr>
                <w:sz w:val="14"/>
                <w:szCs w:val="14"/>
                <w:color w:val="auto"/>
              </w:rPr>
            </w:pPr>
          </w:p>
        </w:tc>
        <w:tc>
          <w:tcPr>
            <w:tcW w:w="6380" w:type="dxa"/>
            <w:vAlign w:val="bottom"/>
          </w:tcPr>
          <w:p>
            <w:pPr>
              <w:ind w:left="262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Second Amended and Restated Certificate of Incorporation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Second Amended and Restated Bylaws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2"/>
              </w:rPr>
              <w:t>Indenture dated as of February 27, 2012 by and among ViaSat, Inc., Wilmington Trust,</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National Association, as trustee, and the guarantors party thereto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7"/>
              </w:rPr>
              <w:t>Form of 6.875% Senior Note due 2020 of ViaSat, Inc. (attached as Exhibit A to the</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Indenture filed as Exhibit 4.2 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3"/>
              </w:rPr>
              <w:t>Form of Indemnification Agreement between ViaSat, Inc. and each of its directors and</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officers</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8"/>
              </w:rPr>
              <w:t>ViaSat, Inc. Employee Stock Purchase Plan (as Amended and Restated Effective</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September 18, 2013)</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6"/>
              </w:rPr>
              <w:t>1996 Equity Participation Plan of ViaSat, Inc. (As Amended and Restated Effective</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September 20, 2012)</w:t>
            </w: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3"/>
              </w:rPr>
              <w:t>Form of Stock Option Agreement for the 1996 Equity Participation Plan of ViaSat, Inc.</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0"/>
              </w:rPr>
              <w:t>Form of Restricted Stock Unit Award Agreement for the 1996 Equity Participation Plan of</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ViaSat, Inc.</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Form of Executive Restricted Stock Unit Award Agreement for the 1996 Equity</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Participation Plan of ViaSat, Inc.</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3"/>
              </w:rPr>
              <w:t>Form of Non-Employee Director Restricted Stock Unit Award Agreement for the 1996</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Equity Participation Plan of ViaSat, Inc.</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2"/>
              </w:rPr>
              <w:t>Form of Change in Control Severance Agreement between ViaSat, Inc. and each of its</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executive officers</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3"/>
              </w:rPr>
              <w:t>Separation Agreement dated as of August 22, 2012 between ViaSat, Inc. and Ronald</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Wangerin</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4"/>
              </w:rPr>
              <w:t>Credit Agreement dated as of November 26, 2013, by and among ViaSat, Inc., Union</w:t>
            </w:r>
          </w:p>
        </w:tc>
      </w:tr>
      <w:tr>
        <w:trPr>
          <w:trHeight w:val="216"/>
        </w:trPr>
        <w:tc>
          <w:tcPr>
            <w:tcW w:w="500" w:type="dxa"/>
            <w:vAlign w:val="bottom"/>
          </w:tcPr>
          <w:p>
            <w:pPr>
              <w:spacing w:after="0"/>
              <w:rPr>
                <w:sz w:val="18"/>
                <w:szCs w:val="18"/>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w w:val="94"/>
              </w:rPr>
              <w:t>Bank, N.A. (as administrative agent and collateral agent) and the other lenders party</w:t>
            </w:r>
          </w:p>
        </w:tc>
      </w:tr>
      <w:tr>
        <w:trPr>
          <w:trHeight w:val="222"/>
        </w:trPr>
        <w:tc>
          <w:tcPr>
            <w:tcW w:w="500" w:type="dxa"/>
            <w:vAlign w:val="bottom"/>
          </w:tcPr>
          <w:p>
            <w:pPr>
              <w:spacing w:after="0"/>
              <w:rPr>
                <w:sz w:val="19"/>
                <w:szCs w:val="19"/>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thereto</w:t>
            </w:r>
          </w:p>
        </w:tc>
      </w:tr>
      <w:tr>
        <w:trPr>
          <w:trHeight w:val="365"/>
        </w:trPr>
        <w:tc>
          <w:tcPr>
            <w:tcW w:w="500" w:type="dxa"/>
            <w:vAlign w:val="bottom"/>
          </w:tcPr>
          <w:p>
            <w:pPr>
              <w:spacing w:after="0"/>
              <w:rPr>
                <w:sz w:val="24"/>
                <w:szCs w:val="24"/>
                <w:color w:val="auto"/>
              </w:rPr>
            </w:pPr>
          </w:p>
        </w:tc>
        <w:tc>
          <w:tcPr>
            <w:tcW w:w="6640" w:type="dxa"/>
            <w:vAlign w:val="bottom"/>
            <w:gridSpan w:val="2"/>
          </w:tcPr>
          <w:p>
            <w:pPr>
              <w:ind w:left="5120"/>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w w:val="86"/>
              </w:rPr>
              <w:t>Incorporated by Reference</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Filed or</w:t>
            </w:r>
          </w:p>
        </w:tc>
        <w:tc>
          <w:tcPr>
            <w:tcW w:w="0" w:type="dxa"/>
            <w:vAlign w:val="bottom"/>
          </w:tcPr>
          <w:p>
            <w:pPr>
              <w:spacing w:after="0"/>
              <w:rPr>
                <w:sz w:val="1"/>
                <w:szCs w:val="1"/>
                <w:color w:val="auto"/>
              </w:rPr>
            </w:pPr>
          </w:p>
        </w:tc>
      </w:tr>
      <w:tr>
        <w:trPr>
          <w:trHeight w:val="67"/>
        </w:trPr>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gridSpan w:val="5"/>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62"/>
        </w:trPr>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File No.</w:t>
            </w:r>
          </w:p>
        </w:tc>
        <w:tc>
          <w:tcPr>
            <w:tcW w:w="2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02"/>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11/14/2000</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12/04/2012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S-1/A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333-13183</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11/05/1996</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02/27/2012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02/27/2012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03/07/2008</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09/19/2013</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09/20/2012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10/02/2008</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10/02/2008</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10/02/2008</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10/05/2009</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08/04/2010</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08/23/2012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11/26/2013</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140" w:space="220"/>
            <w:col w:w="4060"/>
          </w:cols>
          <w:pgMar w:left="240" w:top="459"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35"/>
        </w:trPr>
        <w:tc>
          <w:tcPr>
            <w:tcW w:w="1080" w:type="dxa"/>
            <w:vAlign w:val="bottom"/>
            <w:gridSpan w:val="2"/>
            <w:vMerge w:val="continue"/>
          </w:tcPr>
          <w:p>
            <w:pPr>
              <w:spacing w:after="0"/>
              <w:rPr>
                <w:sz w:val="3"/>
                <w:szCs w:val="3"/>
                <w:color w:val="auto"/>
              </w:rPr>
            </w:pPr>
          </w:p>
        </w:tc>
        <w:tc>
          <w:tcPr>
            <w:tcW w:w="6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6260" w:type="dxa"/>
            <w:vAlign w:val="bottom"/>
            <w:gridSpan w:val="2"/>
          </w:tcPr>
          <w:p>
            <w:pPr>
              <w:ind w:left="2500"/>
              <w:spacing w:after="0" w:line="141" w:lineRule="exact"/>
              <w:rPr>
                <w:sz w:val="20"/>
                <w:szCs w:val="20"/>
                <w:color w:val="auto"/>
              </w:rPr>
            </w:pPr>
            <w:r>
              <w:rPr>
                <w:rFonts w:ascii="Arial" w:cs="Arial" w:eastAsia="Arial" w:hAnsi="Arial"/>
                <w:sz w:val="14"/>
                <w:szCs w:val="14"/>
                <w:b w:val="1"/>
                <w:bCs w:val="1"/>
                <w:color w:val="auto"/>
              </w:rPr>
              <w:t>Exhibit Description</w:t>
            </w:r>
          </w:p>
        </w:tc>
        <w:tc>
          <w:tcPr>
            <w:tcW w:w="7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1"/>
              </w:rPr>
              <w:t>Form</w:t>
            </w:r>
          </w:p>
        </w:tc>
        <w:tc>
          <w:tcPr>
            <w:tcW w:w="9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File No.</w:t>
            </w:r>
          </w:p>
        </w:tc>
        <w:tc>
          <w:tcPr>
            <w:tcW w:w="6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Exhibit</w:t>
            </w:r>
          </w:p>
        </w:tc>
        <w:tc>
          <w:tcPr>
            <w:tcW w:w="9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Filing Date</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6260" w:type="dxa"/>
            <w:vAlign w:val="bottom"/>
            <w:gridSpan w:val="2"/>
          </w:tcPr>
          <w:p>
            <w:pPr>
              <w:spacing w:after="0"/>
              <w:rPr>
                <w:sz w:val="20"/>
                <w:szCs w:val="20"/>
                <w:color w:val="auto"/>
              </w:rPr>
            </w:pPr>
            <w:r>
              <w:rPr>
                <w:rFonts w:ascii="Arial" w:cs="Arial" w:eastAsia="Arial" w:hAnsi="Arial"/>
                <w:sz w:val="18"/>
                <w:szCs w:val="18"/>
                <w:color w:val="auto"/>
                <w:w w:val="95"/>
              </w:rPr>
              <w:t>Award/Contract dated March 10, 2010 between ViaSat, Inc. and Space and Naval</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10-K/A</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000-21767</w:t>
            </w:r>
          </w:p>
        </w:tc>
        <w:tc>
          <w:tcPr>
            <w:tcW w:w="10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w w:val="93"/>
              </w:rPr>
              <w:t>10.19</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08/03/2010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Warfare Systems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Subsidiaries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1"/>
              </w:rPr>
              <w:t>Consent of PricewaterhouseCoopers LLP, Independent Registered Public Accounting</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Firm</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Power of Attorney (see signature page)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7"/>
              </w:rPr>
              <w:t>Certification Pursuant to Section 302 of the Sarbanes-Oxley Act of 2002 of Chief</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7"/>
              </w:rPr>
              <w:t>Certification Pursuant to Section 302 of the Sarbanes-Oxley Act of 2002 of Chief</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0"/>
              </w:rPr>
              <w:t>Certifications Pursuant to 18 U.S.C. Section 1350, as Adopted Pursuant to Section 906</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Filed or</w:t>
      </w:r>
    </w:p>
    <w:p>
      <w:pPr>
        <w:spacing w:after="0" w:line="2" w:lineRule="exact"/>
        <w:rPr>
          <w:sz w:val="20"/>
          <w:szCs w:val="20"/>
          <w:color w:val="auto"/>
        </w:rPr>
      </w:pPr>
    </w:p>
    <w:p>
      <w:pPr>
        <w:ind w:left="20" w:right="40" w:hanging="27"/>
        <w:spacing w:after="0" w:line="297" w:lineRule="auto"/>
        <w:rPr>
          <w:sz w:val="20"/>
          <w:szCs w:val="20"/>
          <w:color w:val="auto"/>
        </w:rPr>
      </w:pPr>
      <w:r>
        <w:rPr>
          <w:rFonts w:ascii="Arial" w:cs="Arial" w:eastAsia="Arial" w:hAnsi="Arial"/>
          <w:sz w:val="12"/>
          <w:szCs w:val="12"/>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-28575</wp:posOffset>
            </wp:positionV>
            <wp:extent cx="4203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sectPr>
          <w:pgSz w:w="11900" w:h="16838" w:orient="portrait"/>
          <w:cols w:equalWidth="0" w:num="2">
            <w:col w:w="10520" w:space="160"/>
            <w:col w:w="620"/>
          </w:cols>
          <w:pgMar w:left="240" w:top="459" w:right="359" w:bottom="1440" w:gutter="0" w:footer="0" w:header="0"/>
          <w:type w:val="continuous"/>
        </w:sectPr>
      </w:pPr>
    </w:p>
    <w:p>
      <w:pPr>
        <w:spacing w:after="0"/>
        <w:rPr>
          <w:sz w:val="20"/>
          <w:szCs w:val="20"/>
          <w:color w:val="auto"/>
        </w:rPr>
      </w:pPr>
      <w:r>
        <w:rPr>
          <w:rFonts w:ascii="Arial" w:cs="Arial" w:eastAsia="Arial" w:hAnsi="Arial"/>
          <w:sz w:val="18"/>
          <w:szCs w:val="18"/>
          <w:color w:val="auto"/>
        </w:rPr>
        <w:t>*  Indicates management contract, compensatory plan or arrangement.</w:t>
      </w:r>
    </w:p>
    <w:p>
      <w:pPr>
        <w:spacing w:after="0" w:line="15" w:lineRule="exact"/>
        <w:rPr>
          <w:sz w:val="20"/>
          <w:szCs w:val="20"/>
          <w:color w:val="auto"/>
        </w:rPr>
      </w:pPr>
    </w:p>
    <w:p>
      <w:pPr>
        <w:ind w:left="220" w:right="160" w:hanging="212"/>
        <w:spacing w:after="0" w:line="261"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240" w:top="459" w:right="3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ViaSat, Inc.:</w:t>
      </w:r>
    </w:p>
    <w:p>
      <w:pPr>
        <w:spacing w:after="0" w:line="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15(1) present fairly, in all material respects, the financial position of ViaSat, Inc. and its subsidiaries at April 4, 2014 and March 29, 2013, and the results of their operations and their cash flows for each of the three years in the period ended April 4, 2014 in conformity with accounting principles generally accepted in the United States of America. In addition, in our opinion, the financial statement schedule listed in the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April 4, 2014,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April 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2014</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right"/>
              <w:ind w:right="74"/>
              <w:spacing w:after="0" w:line="142" w:lineRule="exact"/>
              <w:rPr>
                <w:sz w:val="20"/>
                <w:szCs w:val="20"/>
                <w:color w:val="auto"/>
              </w:rPr>
            </w:pPr>
            <w:r>
              <w:rPr>
                <w:rFonts w:ascii="Arial" w:cs="Arial" w:eastAsia="Arial" w:hAnsi="Arial"/>
                <w:sz w:val="14"/>
                <w:szCs w:val="14"/>
                <w:b w:val="1"/>
                <w:bCs w:val="1"/>
                <w:color w:val="auto"/>
                <w:w w:val="86"/>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58,347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271,891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37,712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531,621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544,873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421,666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83,627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1,960,115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1,794,072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98,852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174,118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274,826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247,148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583,861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long-term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105,900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1,013,480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and 11)</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88"/>
              </w:rPr>
              <w:t>Series A, convertible preferred stock, $.0001 par value; 5,000,000 shares authorized; no shares issued and outstanding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at April 4, 2014 and March 29, 2013, respectively</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100,000,000 shares authorized; 46,229,259 and 44,974,186 shares outstanding at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April 4, 2014 and March 29, 2013, respectively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776,452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98"/>
              </w:rPr>
              <w:t>Common stock held in treasury, at cost, 1,190,572 and 947,607 shares at April 4, 2014 and March 29, 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(49,358)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941,012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903,001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86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946,635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907,835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1,960,115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1,794,072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9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April 4, 2014</w:t>
            </w:r>
          </w:p>
        </w:tc>
        <w:tc>
          <w:tcPr>
            <w:tcW w:w="6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29, 2013</w:t>
            </w: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785,738</w:t>
            </w:r>
          </w:p>
        </w:tc>
        <w:tc>
          <w:tcPr>
            <w:tcW w:w="10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664,417</w:t>
            </w:r>
          </w:p>
        </w:tc>
        <w:tc>
          <w:tcPr>
            <w:tcW w:w="68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455,273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1,351,462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1,119,690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863,627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571,855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484,973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419,425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363,188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281,533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240,859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(20,362)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(37,938)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(43,993)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(26,501)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(34,604)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(90,683)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(25,947)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(50,054)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(8,657)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(40,629)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 net of tax</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Net (loss) income attributable to ViaSat,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(9,446)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(41,172)</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attributable to ViaSat, Inc. common stockholders: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Basic net (loss) income per share attributable to ViaSat, Inc. common stockholders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(0.94)</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(loss) income per share attributable to ViaSat, Inc. common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(0.94)</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Shares used in computing basic net (loss) income per share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45,744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43,931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used in computing diluted net (loss) income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44,226</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Comprehensive (loss) income:</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(8,657)</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(40,629)</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 comprehensive income (loss), net of tax:</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(loss) on hedging, net of tax</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 net of tax</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 net of tax</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Comprehensive (loss) income</w:t>
            </w: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(6,950)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(41,462)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comprehensive income attributable to the noncontrolling interest, net of tax</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Comprehensive (loss) income attributable to ViaSat, Inc.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(7,739)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(42,005)</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4, 2014</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29, 2013</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30, 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Net (loss) income</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(8,657)</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(40,629)</w:t>
            </w:r>
          </w:p>
        </w:tc>
        <w:tc>
          <w:tcPr>
            <w:tcW w:w="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Adjustments to reconcile net (loss) income to net cash provided by operating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Depreciation</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159,089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134,133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25,975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23,038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(27,182)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(50,728)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Stock-based compensation expense</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33,639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27,035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Loss on disposition of fixed assets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33,752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12,109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Non-cash loss on extinguishment of debt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6,726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Repayment of discount on the 2016 Notes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(3,418)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Receipt of premium on the Additional 2020 Notes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10,500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Other non-cash adjustments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6,153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4,301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4"/>
              </w:rPr>
              <w:t>Increase (decrease) in cash resulting from changes in operating assets and liabilities, net of effects of acquisition:</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(9,219)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(57,124)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(11,422)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21,233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(6,561)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(15,471)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(7,404)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4,564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17,730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9,406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6,123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operating activities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0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205,140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91,798</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141,449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Purchase of property, equipment and satellites, net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(307,625)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(176,295)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patents, licenses and other assets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(44,461)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(25,270)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420"/>
              <w:spacing w:after="0" w:line="149" w:lineRule="exact"/>
              <w:rPr>
                <w:sz w:val="20"/>
                <w:szCs w:val="20"/>
                <w:color w:val="auto"/>
              </w:rPr>
            </w:pPr>
            <w:r>
              <w:rPr>
                <w:rFonts w:ascii="Arial" w:cs="Arial" w:eastAsia="Arial" w:hAnsi="Arial"/>
                <w:sz w:val="14"/>
                <w:szCs w:val="14"/>
                <w:color w:val="auto"/>
              </w:rPr>
              <w:t>Payments related to acquisition of businesses, net of cash acquired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(2,400)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(354,486)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(201,565)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(229,022)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revolving credit facility borrowings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295,000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Payments of revolving credit facility borrowings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(190,000)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issuance of 2020 Notes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300,000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Repayment of 2016 Notes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(271,582)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 of debt issuance costs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(2,512)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(8,059)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Proceeds from issuance of common stock under equity plans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18,617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31,001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common stock in treasury</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(15,588)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(8,412)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Other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(3,690)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101,827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42,948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(47,391)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(66,845)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fiscal year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105,738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172,583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fiscal year</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58,347</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105,738</w:t>
            </w: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172,583</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(net of amounts capitalized)</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34,446</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32,004</w:t>
            </w: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420"/>
              <w:spacing w:after="0"/>
              <w:rPr>
                <w:sz w:val="20"/>
                <w:szCs w:val="20"/>
                <w:color w:val="auto"/>
              </w:rPr>
            </w:pPr>
            <w:r>
              <w:rPr>
                <w:rFonts w:ascii="Arial" w:cs="Arial" w:eastAsia="Arial" w:hAnsi="Arial"/>
                <w:sz w:val="14"/>
                <w:szCs w:val="14"/>
                <w:color w:val="auto"/>
              </w:rPr>
              <w:t>Cash paid (received) for income taxes, net</w:t>
            </w: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60" w:type="dxa"/>
            <w:vAlign w:val="bottom"/>
            <w:vMerge w:val="continue"/>
          </w:tcPr>
          <w:p>
            <w:pPr>
              <w:spacing w:after="0"/>
              <w:rPr>
                <w:sz w:val="12"/>
                <w:szCs w:val="12"/>
                <w:color w:val="auto"/>
              </w:rPr>
            </w:pPr>
          </w:p>
        </w:tc>
        <w:tc>
          <w:tcPr>
            <w:tcW w:w="700" w:type="dxa"/>
            <w:vAlign w:val="bottom"/>
            <w:gridSpan w:val="2"/>
          </w:tcPr>
          <w:p>
            <w:pPr>
              <w:ind w:left="540"/>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1,185</w:t>
            </w:r>
          </w:p>
        </w:tc>
        <w:tc>
          <w:tcPr>
            <w:tcW w:w="38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80"/>
              <w:spacing w:after="0" w:line="143" w:lineRule="exact"/>
              <w:rPr>
                <w:sz w:val="20"/>
                <w:szCs w:val="20"/>
                <w:color w:val="auto"/>
              </w:rPr>
            </w:pPr>
            <w:r>
              <w:rPr>
                <w:rFonts w:ascii="Arial" w:cs="Arial" w:eastAsia="Arial" w:hAnsi="Arial"/>
                <w:sz w:val="14"/>
                <w:szCs w:val="14"/>
                <w:color w:val="auto"/>
              </w:rPr>
              <w:t>931</w:t>
            </w:r>
          </w:p>
        </w:tc>
        <w:tc>
          <w:tcPr>
            <w:tcW w:w="44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860"/>
              <w:spacing w:after="0" w:line="149" w:lineRule="exact"/>
              <w:rPr>
                <w:sz w:val="20"/>
                <w:szCs w:val="20"/>
                <w:color w:val="auto"/>
              </w:rPr>
            </w:pPr>
            <w:r>
              <w:rPr>
                <w:rFonts w:ascii="Arial" w:cs="Arial" w:eastAsia="Arial" w:hAnsi="Arial"/>
                <w:sz w:val="14"/>
                <w:szCs w:val="14"/>
                <w:color w:val="auto"/>
              </w:rPr>
              <w:t>Issuance of stock in satisfaction of certain accrued employee compensation liabilities</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8,018</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7,060</w:t>
            </w:r>
          </w:p>
        </w:tc>
        <w:tc>
          <w:tcPr>
            <w:tcW w:w="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Capital expenditures not paid for</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30,237</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747</w:t>
            </w: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26,102</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0"/>
              </w:rPr>
              <w:t>ViaSat, Inc. Stockholders</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jc w:val="right"/>
              <w:ind w:right="172"/>
              <w:spacing w:after="0" w:line="129" w:lineRule="exact"/>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Held in Treasury</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Other</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Retained</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7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Interest in</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4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Earnings</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Amount</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April 1, 2011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42,225,130</w:t>
            </w: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$601,029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$ 254,722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(560,363)</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$(17,907)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4,116</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$844,241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795,634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14,681</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under Employee Stock Purchase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126,302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4,660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22,962</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22,962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in settlement of certain accrued employee</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156,825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6,340</w:t>
            </w: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RSU awards vesting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472,311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Purchase of treasury shares pursuant to vesting of certain RSU</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agreements</w:t>
            </w:r>
          </w:p>
        </w:tc>
        <w:tc>
          <w:tcPr>
            <w:tcW w:w="6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(167,311)</w:t>
            </w: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(7,451)</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7,496</w:t>
            </w:r>
          </w:p>
        </w:tc>
        <w:tc>
          <w:tcPr>
            <w:tcW w:w="24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w w:val="76"/>
              </w:rPr>
              <w:t>102</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Balance at March 30, 2012</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43,776,202</w:t>
            </w:r>
          </w:p>
        </w:tc>
        <w:tc>
          <w:tcPr>
            <w:tcW w:w="2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4</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$649,672</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$ 262,218</w:t>
            </w:r>
          </w:p>
        </w:tc>
        <w:tc>
          <w:tcPr>
            <w:tcW w:w="240" w:type="dxa"/>
            <w:vAlign w:val="bottom"/>
          </w:tcPr>
          <w:p>
            <w:pPr>
              <w:spacing w:after="0"/>
              <w:rPr>
                <w:sz w:val="13"/>
                <w:szCs w:val="13"/>
                <w:color w:val="auto"/>
              </w:rPr>
            </w:pP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(727,674)</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6"/>
              </w:rPr>
              <w:t>$(25,358)</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1,439</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4,218</w:t>
            </w:r>
          </w:p>
        </w:tc>
        <w:tc>
          <w:tcPr>
            <w:tcW w:w="8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$892,193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1,178,573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25,915</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Issuance of stock under Employee Stock Purchase Plan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157,636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5,086</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27,382</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27,382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rPr>
              <w:t>Shares issued in settlement of certain accrued employee</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197,149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7,060</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RSU awards vesting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612,233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w w:val="94"/>
              </w:rPr>
              <w:t>Purchase of treasury shares pursuant to vesting of certain RSU</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agreements</w:t>
            </w:r>
          </w:p>
        </w:tc>
        <w:tc>
          <w:tcPr>
            <w:tcW w:w="6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(219,933)</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(8,412)</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noncontrolling interest activity</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(41,172)</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w w:val="76"/>
              </w:rPr>
              <w:t>543</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Balance at March 29, 2013</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45,921,793</w:t>
            </w:r>
          </w:p>
        </w:tc>
        <w:tc>
          <w:tcPr>
            <w:tcW w:w="2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4</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$715,115</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$ 221,046</w:t>
            </w:r>
          </w:p>
        </w:tc>
        <w:tc>
          <w:tcPr>
            <w:tcW w:w="240" w:type="dxa"/>
            <w:vAlign w:val="bottom"/>
          </w:tcPr>
          <w:p>
            <w:pPr>
              <w:spacing w:after="0"/>
              <w:rPr>
                <w:sz w:val="13"/>
                <w:szCs w:val="13"/>
                <w:color w:val="auto"/>
              </w:rPr>
            </w:pP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(947,607)</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6"/>
              </w:rPr>
              <w:t>$(33,770)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620"/>
              <w:spacing w:after="0" w:line="155" w:lineRule="exact"/>
              <w:rPr>
                <w:sz w:val="20"/>
                <w:szCs w:val="20"/>
                <w:color w:val="auto"/>
              </w:rPr>
            </w:pPr>
            <w:r>
              <w:rPr>
                <w:rFonts w:ascii="Arial" w:cs="Arial" w:eastAsia="Arial" w:hAnsi="Arial"/>
                <w:sz w:val="14"/>
                <w:szCs w:val="14"/>
                <w:color w:val="auto"/>
              </w:rPr>
              <w:t>606</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4,834</w:t>
            </w:r>
          </w:p>
        </w:tc>
        <w:tc>
          <w:tcPr>
            <w:tcW w:w="8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$907,835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592,971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12,910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Issuance of stock under Employee Stock Purchase Plan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137,921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5,706</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34,703</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rPr>
              <w:t>Shares issued in settlement of certain accrued employee</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113,126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8,018</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8,018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RSU awards vesting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654,020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w w:val="94"/>
              </w:rPr>
              <w:t>Purchase of treasury shares pursuant to vesting of certain RSU</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agreements</w:t>
            </w:r>
          </w:p>
        </w:tc>
        <w:tc>
          <w:tcPr>
            <w:tcW w:w="6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(242,965)</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9"/>
              </w:rPr>
              <w:t>(15,588)</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(9,446)</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789</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1,707</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April 4, 2014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47,419,831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776,452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$ 211,600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(1,190,572)</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(49,358)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5,623</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946,635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ViaSat, Inc. (also referred to hereafter as the “Company” or “ViaSat”) is a leading provider of high-speed fixed and mobile broadband services, advanced satellite and other wireless networks and secure networking systems, products and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Company’s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2014 refer to the fiscal year ended April 4, 2014. The Company’s quarters for fiscal year 2014 ended on June 28, 2013, October 4, 2013, January 3, 2014 and April 4, 2014. This results in a 53 week fiscal year approximately every four to five years. Fiscal year 2014 was a 53 week year, compared with a 52 week year in fiscal years 2013 and 2012. As a result of the shift in the fiscal calendar, the second quarter of fiscal year 2014 included an additional week. The Company does not believe that the extra week results in any material impact on its financial results.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first quarter of fiscal year 2014, the Company completed the acquisition of LonoCloud, Inc. (LonoCloud), an early-stage privately held company. The purchase price of approximately $2.4 million was primarily allocated to acquired technology intangible assets. This acquisition was accounted for as a purchase and, accordingly, the consolidated financial statements include the operating results of LonoCloud from the date of acquisition.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unbilled accounts receivable and allowance for doubtful accounts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Unbilled accounts receivables consist of costs and fees earned and billable on contract completion or other specified events. Unbilled accounts receivables are generally expected to be billed and collected within one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1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Revenues from the U.S. government as a customer comprised 21.2%, 24.1% and 19.9% of total revenues for fiscal years 2014, 2013 and 2012, respectively. Billed accounts receivable to the U.S. government as of April 4, 2014 and March 29, 2013 were 22.3% and 37.9%, respectively, of total billed receivables. In addition, none of the Company’s commercial customers comprised 10.0% or more of total revenues for fiscal years 2014, 2013 and 2012. The Company’s five largest contracts generated approximately 26.4%, 24.0% and 19.6% of the Company’s total revenues for the fiscal years ended April 4, 2014, March 29, 2013 and March 30, 2012,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is valued at the lower of cost or market, cost being determined by the weighted 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assets under construction, including the ViaSat-2 satellite which commenced construction during the first quarter of fiscal year 2014 and ViaSat-1 satellite which was placed into service during the fourth quarter of fiscal year 2012, the Company capitalized $8.1 million, $3.1 million, and $25.9 million of interest expense during the fiscal years ended April 4, 2014, March 29, 2013 and March 30, 2012, respectively.</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owns two satellites: ViaSat-1 (its first high-capacity Ka-band spot-beam satellite, which was placed into service in January 2012) and WildBlue-1 (which was placed into service in March 2007). During the first quarter of fiscal year 2014, the Company entered into a satellite construction contract for ViaSat-2, its second high-capacity Ka-band satellite. In addition, the Company has an exclusive prepaid lifetime capital lease of Ka-band capacity over the contiguous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customer premise equipment (CPE) units leased to subscribers under a retail leasing program as part of the Company’s satellite services segment, which are reflected in investing activities and property and equipment in the accompanying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April 4, 2014 were $221.0 million and $79.8 million, respectively. The total cost and accumulated depreciation of CPE units included in property and equipment, net, as of March 29, 2013 were $170.9 million and $51.5 million, respectively.</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April 4, 2014 and March 29, 2013. The Company had capitalized costs of $13.5 million and $8.6 million related to acquiring and obtaining orbital slots and other licenses included in other assets as of April 4, 2014 and March 29, 2013, respectively. Accumulated amortization related to these assets was approximately $1.0 million and $0.7 million as of April 4, 2014 and March 29, 2013, respectively. Amortization expense related to these assets was an insignificant amount for the fiscal years ended April 4, 2014, March 29, 2013, and March 30, 2012. If a patent, orbital slot or orbital license is rejected, abandoned or otherwise invalidated, the unamortized cost is expensed in that period. During fiscal years 2014, 2013 and 2012, the Company did not write off any significant costs due to abandonment or impairment.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the results of which are not materially different from the effective interest rate basis. During fiscal years 2014, 2013 and 2012, the Company paid and capitalized approximately $2.5 million, $8.1 million and $5.7 million, respectively, of debt issuance costs.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$91.0 million and $60.6 million related to software developed for resale were included in other assets as of April 4, 2014 and March 29, 2013, respectively. The Company capitalized $41.5 million and $25.8 million of costs related to software developed for resale for fiscal years ended April 4, 2014 and March 29, 2013, respectively. Amortization expense for software development costs was $11.1 million, $7.2 million and $5.2 million during fiscal years 2014, 2013 and 2012, respectively.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is less than its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2014, 2013 and 2012.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accounts for its goodwill under the authoritative guidance for goodwill and other intangible assets (ASC 350) and Accounting Standards Update (ASU) 2011-08 (ASU 2011-08), Intangibles—Goodwill and Other (ASC 350): Testing Goodwill for Impairment, which simplifies how the Company tests goodwill for impairment. Current authoritative guidance allows the Company to first assess qualitative factors to determine whether it is necessary to perform the two-step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reporting unit exceeds estimated fair value, the Company compares the fair value of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The Company tests goodwill for impairment during the fourth quarter every fiscal year and when an event occurs or circumstances change such that it is reasonably possible that an impairment may exist.</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ASC 350, the Company assesses qualitative factors to determine whether goodwill is impaired. Furthermore, in addition to qualitative analysis, the Company believes it is appropriate to conduct a quantitative analysis periodically as a prudent review of its reporting unit goodwill fair values. The Company’s quantitative analysis estimates the fair values of the reporting units using discounted cash flows and other indicators of fair value. The forecast of future cash flow is based on the Company’s best estimate of the future revenue and operating costs, based primarily on existing firm orders, expected future orders, contracts with suppliers, labor resources and general market conditions. Based on a quantitative analysis for fiscal year 2014, the Company concluded that estimated fair values of the Company’s reporting units significantly exceed their respective carrying value.</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Company’s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the Company’s qualitative and quantitative assessment performed during the fourth quarter of fiscal year 2014, the Company concluded that it was more likely than not that the estimated fair value of the Company’s reporting units exceeded its carrying value as of April 4, 2014 and therefore determined it was not necessary to perform step two of the goodwill impairment test. No impairments were recorded by the Company related to goodwill and other intangible assets for fiscal years 2014, 2013 and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and amounts expected to be incurred beyond twelve months are classified as other liabilities in the consolidated financial statements.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(see Note 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$3.5 million and $2.3 million as of April 4, 2014 and March 29, 2013,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April 4, 2014 and March 29, 2013, no such amounts were accrued related to the aforementioned provisions.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During fiscal years 2014, 2013 and 2012, the Company issued 654,020, 612,233 and 472,311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242,965, 219,933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and 167,311 shares of common stock with a total value of $15.6 million, $8.4 million and $7.5 million during fiscal years 2014, 2013 and 2012,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Repurchased shares of common stock of 1,190,572 and 947,607 were held in treasury as of April 4, 2014 and March 29, 2013,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fiscal years 2014, 2013 and 2012, the Company settled certain foreign exchange contracts and in connection therewith recognized a gain of less than $0.1 million, recognized a loss of $0.9 million and recognized a loss of $0.1 million, respectively, recorded in cost of revenues based on the nature of the underlying transactions. The fair value of the Company’s foreign currency forward contracts was an other current asset of less than $0.1 million and an accrued liability $0.3 million at April 4, 2014 and March 29, 2013, respectively. The notional value of foreign currency forward contracts outstanding as of April 4, 2014 and March 29, 2013 was $3.3 million and $7.0 million, respectively.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April 4, 2014, the estimated net amount of unrealized gains or losses related to foreign currency forward contracts that was expected to be reclassified to earnings within the next twelve months was less than $0.1 million. The Company’s foreign currency forward contracts outstanding as of April 4, 2014 will mature within ten to twenty-three months from their inception. There were no gains or losses from ineffectiveness of these derivative instruments recorded for fiscal years 2014, 2013 and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fiscal years 2014, 2013 and 2012, the Company recorded losses of approximately $3.3 million, $3.1 million and $1.4 million, respectively, related to loss contracts.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consolidated financial statements.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April 4, 2014 and March 29, 2013, the Company had $6.7 million and $7.2 million, respectively, in contract-related reserves for its estimate of potential refunds to customers for potential cost adjustments on several multi-year U.S. government cost reimbursable contracts (see Note 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(SG&amp;A). Advertising expenses for fiscal years 2014, 2013 and 2012 were $18.9 million, $21.8 million and $2.8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consolidated statements of operations and comprehensive income (loss) for fiscal years 2014, 2013 and 2012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leases all of its facilities under operating leases. Some of these lease agreements contain tenant improvement allowances funded by landlord incentives, rent holidays and rent escalation clauses. The authoritative guidance for leases (ASC 840) requires rent expense to be recognized on a straight-line basis over the lease term. The difference between the rent due under the stated periods of the lease compared to that of the straight-line basis is recorded as deferred rent within accrued and other long-term liabilities in the consolidated balance sheet.</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purposes of recognizing landlord incentives and minimum rental expenses on a straight-line basis over the terms of the leases, the Company uses the date that it obtains the legal right to use and control the leased space to begin recording rent expense,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sheets and amortizes the deferred liability as a reduction to rent expense on the consolidated statements of operations and comprehensive income (loss) over the term of the lease.</w:t>
      </w:r>
    </w:p>
    <w:p>
      <w:pPr>
        <w:spacing w:after="0" w:line="11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statements of operations and comprehensive income (loss) on a straight-line basis over the lease term.</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At April 4, 2014 and March 29, 2013, deferred rent included in accrued liabilities in the Company’s consolidated balance sheets was $1.3 million and $0.8 million, respectively, and deferred rent included in other long-term liabilities in the Company’s consolidated balance sheets was $9.8 million and $9.0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 Current income tax expense is the amount of income taxes expected to be payable for the current fiscal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 The Company’s analysis of the need for a valuation allowance on deferred tax assets considered the losses incurred during the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fiscal years ended April 4, 2014 and March 29, 2013. The loss from fiscal year 2013 was more significant and a substantial portion of such loss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Company’s evaluation considered other factors, including the Company’s history of positive earnings, current earnings trends assuming the Company’s satellite subscriber base continues to grow, taxable income adjusted for certain items, the Company’s contractual backlog, and forecasted income by jurisdiction. The Company also considered the lengthy period over which these net deferred tax assets can be realized, and the Company’s history of not having federal tax loss carryforwards expire unused.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 The weighted average number of shares used to calculate basic and diluted net income (loss) per share attributable to ViaSat, Inc. common stockholders is the same for the fiscal years ended April 4, 2014 and March 29, 2013, as the Company incurred a net loss for fiscal years 2014 and 2013 and inclusion of potential common stock would be antidilutive.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secure fixed and mobile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14).</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became effective for the Company beginning in the first quarter of fiscal year 2014 and has been applied retrospectively for all comparative periods presented. Adoption of this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authoritative guidance did not have a material impact on the Company’s consolidated financial statements and disclosures.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July 2012, the FASB issued ASU 2012-02, Intangibles—Goodwill and Other (ASC 350): Testing Indefinite-Lived Intangible Assets for Impairment. The new authoritative guidance simplifies the requirements for testing for indefinite-lived intangible assets other than goodwill and permits an entity to first assess qualitative factors to determine whether it is necessary to perform a quantitative fair value test. This authoritative guidance became effective for the Company during fiscal year 2014. Adoption of this standard did not have a material impact on the Company’s consolidated financial statements and disclosures.</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February 2013, the FASB issued ASU 2013-02, Comprehensive Income (ASC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The guidance, which became effective for the Company beginning in the first quarter of fiscal year 2014, required changes in presentation only and the adoption of this standard did not have a significant impact on the Company’s consolidated financial statements and disclosures. The Company considers information related to amounts reclassified out of accumulated other comprehensive income to be insignificant and therefore immaterial for separate disclosures.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is effective for the Company beginning in the first quarter of fiscal year 2015 and the adoption of this standard is not expected to have a material impact on its consolidated financial statements and disclosures.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July 2013, the FASB issued ASU 2013-11, Income Taxes (ASC 740): Presentation of an Unrecognized Tax Benefit When a Net Operating Loss Carryforward, a Similar Tax Loss, or a Tax Credit Carryforward Exists</w:t>
      </w:r>
      <w:r>
        <w:rPr>
          <w:rFonts w:ascii="Arial" w:cs="Arial" w:eastAsia="Arial" w:hAnsi="Arial"/>
          <w:sz w:val="16"/>
          <w:szCs w:val="16"/>
          <w:i w:val="1"/>
          <w:iCs w:val="1"/>
          <w:color w:val="auto"/>
        </w:rPr>
        <w:t>.</w:t>
      </w:r>
      <w:r>
        <w:rPr>
          <w:rFonts w:ascii="Arial" w:cs="Arial" w:eastAsia="Arial" w:hAnsi="Arial"/>
          <w:sz w:val="16"/>
          <w:szCs w:val="16"/>
          <w:color w:val="auto"/>
        </w:rPr>
        <w:t xml:space="preserve"> ASU 2013-11 requires the netting of unrecognized tax benefits against available deferred tax assets for losses and other carryforward benefits that would be available to offset the liability for uncertain tax positions rather than presenting the unrecognized tax benefits on a gross basis. This guidance is effective for the Company beginning in the first quarter of fiscal year 2015 and the adoption of this standard is not expected to have a material impact on its consolidated financial statements and disclosures.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These amendments are effective prospectively for reporting periods beginning on or after December 15, 2014, with early adoption permitted. The adoption of this standard is not expected to have a material impact on the Company’s consolidated financial statements and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9660" w:type="dxa"/>
            <w:vAlign w:val="bottom"/>
          </w:tcPr>
          <w:p>
            <w:pPr>
              <w:spacing w:after="0"/>
              <w:rPr>
                <w:sz w:val="12"/>
                <w:szCs w:val="12"/>
                <w:color w:val="auto"/>
              </w:rPr>
            </w:pPr>
          </w:p>
        </w:tc>
        <w:tc>
          <w:tcPr>
            <w:tcW w:w="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April 4,</w:t>
            </w:r>
          </w:p>
        </w:tc>
        <w:tc>
          <w:tcPr>
            <w:tcW w:w="2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61"/>
        </w:trPr>
        <w:tc>
          <w:tcPr>
            <w:tcW w:w="9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Billed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129,794</w:t>
            </w:r>
          </w:p>
        </w:tc>
        <w:tc>
          <w:tcPr>
            <w:tcW w:w="28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134,206</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Unbilled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143,651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134,198</w:t>
            </w:r>
          </w:p>
        </w:tc>
        <w:tc>
          <w:tcPr>
            <w:tcW w:w="0" w:type="dxa"/>
            <w:vAlign w:val="bottom"/>
          </w:tcPr>
          <w:p>
            <w:pPr>
              <w:spacing w:after="0"/>
              <w:rPr>
                <w:sz w:val="1"/>
                <w:szCs w:val="1"/>
                <w:color w:val="auto"/>
              </w:rPr>
            </w:pPr>
          </w:p>
        </w:tc>
      </w:tr>
      <w:tr>
        <w:trPr>
          <w:trHeight w:val="156"/>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Allowance for doubtful accounts</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271,891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266,970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60" w:type="dxa"/>
            <w:vAlign w:val="bottom"/>
            <w:vMerge w:val="restart"/>
          </w:tcPr>
          <w:p>
            <w:pPr>
              <w:spacing w:after="0"/>
              <w:rPr>
                <w:sz w:val="20"/>
                <w:szCs w:val="20"/>
                <w:color w:val="auto"/>
              </w:rPr>
            </w:pPr>
            <w:r>
              <w:rPr>
                <w:rFonts w:ascii="Arial" w:cs="Arial" w:eastAsia="Arial" w:hAnsi="Arial"/>
                <w:sz w:val="14"/>
                <w:szCs w:val="14"/>
                <w:color w:val="auto"/>
              </w:rPr>
              <w:t>Inventories:</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Raw materials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42,786</w:t>
            </w: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40,308</w:t>
            </w: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Work in process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22,279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21,298</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Finished goods</w:t>
            </w: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54,536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119,601</w:t>
            </w:r>
          </w:p>
        </w:tc>
        <w:tc>
          <w:tcPr>
            <w:tcW w:w="280" w:type="dxa"/>
            <w:vAlign w:val="bottom"/>
          </w:tcPr>
          <w:p>
            <w:pPr>
              <w:spacing w:after="0"/>
              <w:rPr>
                <w:sz w:val="13"/>
                <w:szCs w:val="13"/>
                <w:color w:val="auto"/>
              </w:rPr>
            </w:pPr>
          </w:p>
        </w:tc>
        <w:tc>
          <w:tcPr>
            <w:tcW w:w="3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106,281</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41,341</w:t>
            </w:r>
          </w:p>
        </w:tc>
        <w:tc>
          <w:tcPr>
            <w:tcW w:w="28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34,257</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44,070</w:t>
            </w:r>
          </w:p>
        </w:tc>
        <w:tc>
          <w:tcPr>
            <w:tcW w:w="280" w:type="dxa"/>
            <w:vAlign w:val="bottom"/>
          </w:tcPr>
          <w:p>
            <w:pPr>
              <w:spacing w:after="0"/>
              <w:rPr>
                <w:sz w:val="13"/>
                <w:szCs w:val="13"/>
                <w:color w:val="auto"/>
              </w:rPr>
            </w:pPr>
          </w:p>
        </w:tc>
        <w:tc>
          <w:tcPr>
            <w:tcW w:w="3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40,819</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Satellites,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Satellite — WildBlue-1 (estimated useful life of 10 years)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195,890</w:t>
            </w:r>
          </w:p>
        </w:tc>
        <w:tc>
          <w:tcPr>
            <w:tcW w:w="28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195,890</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lease of satellite capacity — Anik F2 (estimated useful life of 10 years)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99,090</w:t>
            </w: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Satellite — ViaSat-1 (estimated useful life of 17 years)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363,204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363,204</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Satellite — ViaSat-2 (under construction)</w:t>
            </w: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146,610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804,794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658,184</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3"/>
              </w:rPr>
              <w:t>(173,958)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(123,094)</w:t>
            </w:r>
          </w:p>
        </w:tc>
        <w:tc>
          <w:tcPr>
            <w:tcW w:w="0" w:type="dxa"/>
            <w:vAlign w:val="bottom"/>
          </w:tcPr>
          <w:p>
            <w:pPr>
              <w:spacing w:after="0"/>
              <w:rPr>
                <w:sz w:val="1"/>
                <w:szCs w:val="1"/>
                <w:color w:val="auto"/>
              </w:rPr>
            </w:pPr>
          </w:p>
        </w:tc>
      </w:tr>
      <w:tr>
        <w:trPr>
          <w:trHeight w:val="156"/>
        </w:trPr>
        <w:tc>
          <w:tcPr>
            <w:tcW w:w="96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630,836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535,090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Equipment and software (estimated useful life of 2-7 years)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452,197</w:t>
            </w:r>
          </w:p>
        </w:tc>
        <w:tc>
          <w:tcPr>
            <w:tcW w:w="280" w:type="dxa"/>
            <w:vAlign w:val="bottom"/>
          </w:tcPr>
          <w:p>
            <w:pPr>
              <w:spacing w:after="0"/>
              <w:rPr>
                <w:sz w:val="12"/>
                <w:szCs w:val="12"/>
                <w:color w:val="auto"/>
              </w:rPr>
            </w:pP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381,086</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CPE leased equipment (estimated useful life of 4-5 years)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221,017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170,934</w:t>
            </w: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Furniture and fixtures (estimated useful life of 7 years)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18,773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15,716</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Leasehold improvements (estimated useful life of 2-17 years)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62,159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57,691</w:t>
            </w: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Building (estimated useful life of 24 years)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8,923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8,923</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Land held for sale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49"/>
        </w:trPr>
        <w:tc>
          <w:tcPr>
            <w:tcW w:w="9660" w:type="dxa"/>
            <w:vAlign w:val="bottom"/>
          </w:tcPr>
          <w:p>
            <w:pPr>
              <w:ind w:left="440"/>
              <w:spacing w:after="0" w:line="149" w:lineRule="exact"/>
              <w:rPr>
                <w:sz w:val="20"/>
                <w:szCs w:val="20"/>
                <w:color w:val="auto"/>
              </w:rPr>
            </w:pPr>
            <w:r>
              <w:rPr>
                <w:rFonts w:ascii="Arial" w:cs="Arial" w:eastAsia="Arial" w:hAnsi="Arial"/>
                <w:sz w:val="14"/>
                <w:szCs w:val="14"/>
                <w:color w:val="auto"/>
              </w:rPr>
              <w:t>Land</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Construction in progress</w:t>
            </w: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17,062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23,025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781,752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661,481</w:t>
            </w:r>
          </w:p>
        </w:tc>
        <w:tc>
          <w:tcPr>
            <w:tcW w:w="0" w:type="dxa"/>
            <w:vAlign w:val="bottom"/>
          </w:tcPr>
          <w:p>
            <w:pPr>
              <w:spacing w:after="0"/>
              <w:rPr>
                <w:sz w:val="1"/>
                <w:szCs w:val="1"/>
                <w:color w:val="auto"/>
              </w:rPr>
            </w:pPr>
          </w:p>
        </w:tc>
      </w:tr>
      <w:tr>
        <w:trPr>
          <w:trHeight w:val="149"/>
        </w:trPr>
        <w:tc>
          <w:tcPr>
            <w:tcW w:w="9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accumulated depreciation</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3"/>
              </w:rPr>
              <w:t>(360,086)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(282,790)</w:t>
            </w:r>
          </w:p>
        </w:tc>
        <w:tc>
          <w:tcPr>
            <w:tcW w:w="0" w:type="dxa"/>
            <w:vAlign w:val="bottom"/>
          </w:tcPr>
          <w:p>
            <w:pPr>
              <w:spacing w:after="0"/>
              <w:rPr>
                <w:sz w:val="1"/>
                <w:szCs w:val="1"/>
                <w:color w:val="auto"/>
              </w:rPr>
            </w:pPr>
          </w:p>
        </w:tc>
      </w:tr>
      <w:tr>
        <w:trPr>
          <w:trHeight w:val="156"/>
        </w:trPr>
        <w:tc>
          <w:tcPr>
            <w:tcW w:w="96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421,666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378,691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660" w:type="dxa"/>
            <w:vAlign w:val="bottom"/>
          </w:tcPr>
          <w:p>
            <w:pPr>
              <w:ind w:left="440"/>
              <w:spacing w:after="0"/>
              <w:rPr>
                <w:sz w:val="20"/>
                <w:szCs w:val="20"/>
                <w:color w:val="auto"/>
              </w:rPr>
            </w:pPr>
            <w:r>
              <w:rPr>
                <w:rFonts w:ascii="Arial" w:cs="Arial" w:eastAsia="Arial" w:hAnsi="Arial"/>
                <w:sz w:val="14"/>
                <w:szCs w:val="14"/>
                <w:color w:val="auto"/>
              </w:rPr>
              <w:t>Capitalized software costs, net</w:t>
            </w:r>
          </w:p>
        </w:tc>
        <w:tc>
          <w:tcPr>
            <w:tcW w:w="5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91,022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60,596</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Patents, orbital slots and other licenses, net</w:t>
            </w:r>
          </w:p>
        </w:tc>
        <w:tc>
          <w:tcPr>
            <w:tcW w:w="5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15,700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11,100</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6"/>
              </w:rPr>
              <w:t>110,711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97,238</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50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39,535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36,314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5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6"/>
              </w:rPr>
              <w:t>256,968</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0"/>
              </w:rPr>
              <w:t>205,248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Accrued liabilities:</w:t>
            </w:r>
          </w:p>
        </w:tc>
        <w:tc>
          <w:tcPr>
            <w:tcW w:w="5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Collections in excess of revenues and deferred revenues</w:t>
            </w:r>
          </w:p>
        </w:tc>
        <w:tc>
          <w:tcPr>
            <w:tcW w:w="5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69,127</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65,822</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employee compensation</w:t>
            </w:r>
          </w:p>
        </w:tc>
        <w:tc>
          <w:tcPr>
            <w:tcW w:w="5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23,954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23,925</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Accrued vacation</w:t>
            </w: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22,550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19,252</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Warranty reserve, current portion</w:t>
            </w:r>
          </w:p>
        </w:tc>
        <w:tc>
          <w:tcPr>
            <w:tcW w:w="5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9,368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8,840</w:t>
            </w:r>
          </w:p>
        </w:tc>
        <w:tc>
          <w:tcPr>
            <w:tcW w:w="0" w:type="dxa"/>
            <w:vAlign w:val="bottom"/>
          </w:tcPr>
          <w:p>
            <w:pPr>
              <w:spacing w:after="0"/>
              <w:rPr>
                <w:sz w:val="1"/>
                <w:szCs w:val="1"/>
                <w:color w:val="auto"/>
              </w:rPr>
            </w:pPr>
          </w:p>
        </w:tc>
      </w:tr>
      <w:tr>
        <w:trPr>
          <w:trHeight w:val="156"/>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5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49,119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44,070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rPr>
                <w:sz w:val="12"/>
                <w:szCs w:val="12"/>
                <w:color w:val="auto"/>
              </w:rPr>
            </w:pPr>
          </w:p>
        </w:tc>
        <w:tc>
          <w:tcPr>
            <w:tcW w:w="5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6"/>
              </w:rPr>
              <w:t>174,118</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161,909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color w:val="auto"/>
              </w:rPr>
              <w:t>Other liabilities:</w:t>
            </w: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vMerge w:val="continue"/>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revenue, long-term portion</w:t>
            </w:r>
          </w:p>
        </w:tc>
        <w:tc>
          <w:tcPr>
            <w:tcW w:w="5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10,097</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15,360</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Deferred rent, long-term portion</w:t>
            </w: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9,758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8,964</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Warranty reserve, long-term portion</w:t>
            </w:r>
          </w:p>
        </w:tc>
        <w:tc>
          <w:tcPr>
            <w:tcW w:w="5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7,655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Deferred income taxes, long-term portion</w:t>
            </w: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Unrecognized tax position liabilities</w:t>
            </w:r>
          </w:p>
        </w:tc>
        <w:tc>
          <w:tcPr>
            <w:tcW w:w="5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56"/>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Satellite performance incentives obligation, long-term portion</w:t>
            </w:r>
          </w:p>
        </w:tc>
        <w:tc>
          <w:tcPr>
            <w:tcW w:w="5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20,567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48,893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52,640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60" w:type="dxa"/>
            <w:vAlign w:val="bottom"/>
          </w:tcPr>
          <w:p>
            <w:pPr>
              <w:spacing w:after="0"/>
              <w:rPr>
                <w:sz w:val="24"/>
                <w:szCs w:val="24"/>
                <w:color w:val="auto"/>
              </w:rPr>
            </w:pPr>
          </w:p>
        </w:tc>
        <w:tc>
          <w:tcPr>
            <w:tcW w:w="5100" w:type="dxa"/>
            <w:vAlign w:val="bottom"/>
            <w:gridSpan w:val="2"/>
          </w:tcPr>
          <w:p>
            <w:pPr>
              <w:jc w:val="right"/>
              <w:ind w:right="3812"/>
              <w:spacing w:after="0"/>
              <w:rPr>
                <w:sz w:val="20"/>
                <w:szCs w:val="20"/>
                <w:color w:val="auto"/>
              </w:rPr>
            </w:pPr>
            <w:r>
              <w:rPr>
                <w:rFonts w:ascii="Arial" w:cs="Arial" w:eastAsia="Arial" w:hAnsi="Arial"/>
                <w:sz w:val="18"/>
                <w:szCs w:val="18"/>
                <w:color w:val="auto"/>
              </w:rPr>
              <w:t>F-18</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Level 1 </w:t>
      </w:r>
      <w:r>
        <w:rPr>
          <w:rFonts w:ascii="Arial" w:cs="Arial" w:eastAsia="Arial" w:hAnsi="Arial"/>
          <w:sz w:val="18"/>
          <w:szCs w:val="18"/>
          <w:i w:val="1"/>
          <w:iCs w:val="1"/>
          <w:color w:val="auto"/>
        </w:rPr>
        <w:t>—</w:t>
      </w:r>
      <w:r>
        <w:rPr>
          <w:rFonts w:ascii="Arial" w:cs="Arial" w:eastAsia="Arial" w:hAnsi="Arial"/>
          <w:sz w:val="18"/>
          <w:szCs w:val="18"/>
          <w:color w:val="auto"/>
        </w:rPr>
        <w:t xml:space="preserve">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Level 2 </w:t>
      </w:r>
      <w:r>
        <w:rPr>
          <w:rFonts w:ascii="Arial" w:cs="Arial" w:eastAsia="Arial" w:hAnsi="Arial"/>
          <w:sz w:val="18"/>
          <w:szCs w:val="18"/>
          <w:i w:val="1"/>
          <w:iCs w:val="1"/>
          <w:color w:val="auto"/>
        </w:rPr>
        <w:t>—</w:t>
      </w:r>
      <w:r>
        <w:rPr>
          <w:rFonts w:ascii="Arial" w:cs="Arial" w:eastAsia="Arial" w:hAnsi="Arial"/>
          <w:sz w:val="18"/>
          <w:szCs w:val="18"/>
          <w:color w:val="auto"/>
        </w:rPr>
        <w:t xml:space="preserve">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Level 3 </w:t>
      </w:r>
      <w:r>
        <w:rPr>
          <w:rFonts w:ascii="Arial" w:cs="Arial" w:eastAsia="Arial" w:hAnsi="Arial"/>
          <w:sz w:val="18"/>
          <w:szCs w:val="18"/>
          <w:i w:val="1"/>
          <w:iCs w:val="1"/>
          <w:color w:val="auto"/>
        </w:rPr>
        <w:t>—</w:t>
      </w:r>
      <w:r>
        <w:rPr>
          <w:rFonts w:ascii="Arial" w:cs="Arial" w:eastAsia="Arial" w:hAnsi="Arial"/>
          <w:sz w:val="18"/>
          <w:szCs w:val="18"/>
          <w:color w:val="auto"/>
        </w:rPr>
        <w:t xml:space="preserve">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April 4,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29,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April 4, 2014</w:t>
            </w:r>
          </w:p>
        </w:tc>
        <w:tc>
          <w:tcPr>
            <w:tcW w:w="52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5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2,087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2,087</w:t>
            </w:r>
          </w:p>
        </w:tc>
        <w:tc>
          <w:tcPr>
            <w:tcW w:w="4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2,087</w:t>
            </w:r>
          </w:p>
        </w:tc>
        <w:tc>
          <w:tcPr>
            <w:tcW w:w="44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w w:val="99"/>
              </w:rPr>
              <w:t>$  40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29, 2013</w:t>
            </w:r>
          </w:p>
        </w:tc>
        <w:tc>
          <w:tcPr>
            <w:tcW w:w="52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5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47,427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47,427</w:t>
            </w:r>
          </w:p>
        </w:tc>
        <w:tc>
          <w:tcPr>
            <w:tcW w:w="4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47,427</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8"/>
              </w:rPr>
              <w:t>$ 318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w w:val="88"/>
              </w:rPr>
              <w:t>$ 318</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Foreign currency forward contracts — </w:t>
      </w:r>
      <w:r>
        <w:rPr>
          <w:rFonts w:ascii="Arial" w:cs="Arial" w:eastAsia="Arial" w:hAnsi="Arial"/>
          <w:sz w:val="18"/>
          <w:szCs w:val="18"/>
          <w:color w:val="auto"/>
        </w:rPr>
        <w:t>The Company uses derivative financial instruments to manage foreign currency risk relating to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its revolving credit facility (the Credit Facility), reported at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borrowings, and $575.0 million in aggregate principal amount of 2020 Notes reported at amortized cost. However, for disclosure purposes, the Company is required to measure the fair value of outstanding debt on a recurring basis. As of April 4, 2014 and March 29, 2013, the fair value of the Company’s outstanding long-term debt related to the 2020 Notes was determined using quoted prices in active markets (Level 1) and was approximately $616.7 million. The fair value of the Company’s long-term debt related to the Credit Facility approximates its carrying amount due to the variable interest rate on the revolving line of credit, which approximates a market interest rate.</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April 4, 2014 and March 29, 2013, the Company’s estimated satellite performance incentives obligation and accrued interest was $22.6 million and $22.7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fiscal years 2014 and 2013, the Company’s goodwill increased by approximately $0.6 million and decreased by approximately $0.5 million, respectively, related to the effects of foreign currency translation recorded mainly within the Company’s commercial networks segment. Other acquired intangible assets are amortized using the straight-line method over their estimated useful lives of three to ten years, which is not materially different from the economic benefit method. Amortization expense related to other acquired intangible assets was $14.6 million, $15.6 million and $18.7 million for the fiscal years ended April 4, 2014, March 29, 2013 and March 30, 2012, respectively.</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-80010</wp:posOffset>
            </wp:positionV>
            <wp:extent cx="49225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2"/>
          <w:szCs w:val="12"/>
          <w:color w:val="auto"/>
        </w:rPr>
        <w:t>Expected for fiscal year 2017</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2"/>
          <w:szCs w:val="12"/>
          <w:color w:val="auto"/>
        </w:rPr>
        <w:t>Expected for fiscal year 2019</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Amortization</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w:t>
      </w:r>
    </w:p>
    <w:p>
      <w:pPr>
        <w:spacing w:after="0" w:line="12" w:lineRule="exact"/>
        <w:rPr>
          <w:sz w:val="20"/>
          <w:szCs w:val="20"/>
          <w:color w:val="auto"/>
        </w:rPr>
      </w:pPr>
    </w:p>
    <w:p>
      <w:pPr>
        <w:ind w:left="480" w:hanging="475"/>
        <w:spacing w:after="0"/>
        <w:tabs>
          <w:tab w:leader="none" w:pos="4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14,668</w:t>
      </w:r>
    </w:p>
    <w:p>
      <w:pPr>
        <w:spacing w:after="0" w:line="22" w:lineRule="exact"/>
        <w:rPr>
          <w:rFonts w:ascii="Arial" w:cs="Arial" w:eastAsia="Arial" w:hAnsi="Arial"/>
          <w:sz w:val="11"/>
          <w:szCs w:val="11"/>
          <w:color w:val="auto"/>
        </w:rPr>
      </w:pPr>
    </w:p>
    <w:p>
      <w:pPr>
        <w:ind w:left="480"/>
        <w:spacing w:after="0"/>
        <w:rPr>
          <w:rFonts w:ascii="Arial" w:cs="Arial" w:eastAsia="Arial" w:hAnsi="Arial"/>
          <w:sz w:val="11"/>
          <w:szCs w:val="11"/>
          <w:color w:val="auto"/>
        </w:rPr>
      </w:pPr>
      <w:r>
        <w:rPr>
          <w:rFonts w:ascii="Arial" w:cs="Arial" w:eastAsia="Arial" w:hAnsi="Arial"/>
          <w:sz w:val="11"/>
          <w:szCs w:val="11"/>
          <w:color w:val="auto"/>
        </w:rPr>
        <w:t>11,024</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4,669</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3,616</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1,142</w:t>
      </w:r>
    </w:p>
    <w:p>
      <w:pPr>
        <w:spacing w:after="0" w:line="22"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1"/>
          <w:szCs w:val="11"/>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5314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7" w:lineRule="exact"/>
        <w:rPr>
          <w:sz w:val="20"/>
          <w:szCs w:val="20"/>
          <w:color w:val="auto"/>
        </w:rPr>
      </w:pPr>
    </w:p>
    <w:p>
      <w:pPr>
        <w:ind w:left="480" w:hanging="475"/>
        <w:spacing w:after="0"/>
        <w:tabs>
          <w:tab w:leader="none" w:pos="4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35,397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5314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5314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20"/>
          </w:cols>
          <w:pgMar w:left="240" w:top="459" w:right="259" w:bottom="1440" w:gutter="0" w:footer="0" w:header="0"/>
          <w:type w:val="continuous"/>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00"/>
          </w:cols>
          <w:pgMar w:left="240" w:top="459" w:right="2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other acquired intangible assets and the related accumulated amortization as of April 4, 2014 and March 29, 2013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of April 4, 2014</w:t>
            </w: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As of March 29, 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4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book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book</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w w:val="86"/>
              </w:rPr>
              <w:t>Useful Life</w:t>
            </w:r>
          </w:p>
        </w:tc>
        <w:tc>
          <w:tcPr>
            <w:tcW w:w="8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10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57,084</w:t>
            </w:r>
          </w:p>
        </w:tc>
        <w:tc>
          <w:tcPr>
            <w:tcW w:w="5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(52,979)</w:t>
            </w: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4,105</w:t>
            </w: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53,714</w:t>
            </w:r>
          </w:p>
        </w:tc>
        <w:tc>
          <w:tcPr>
            <w:tcW w:w="5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(49,654)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4,060</w:t>
            </w: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Contracts and customer relationships</w:t>
            </w:r>
          </w:p>
        </w:tc>
        <w:tc>
          <w:tcPr>
            <w:tcW w:w="10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88,853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(62,245)</w:t>
            </w:r>
          </w:p>
        </w:tc>
        <w:tc>
          <w:tcPr>
            <w:tcW w:w="3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26,608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88,651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(51,184)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37,467</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Satellite co-location rights</w:t>
            </w:r>
          </w:p>
        </w:tc>
        <w:tc>
          <w:tcPr>
            <w:tcW w:w="10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(3,969)</w:t>
            </w:r>
          </w:p>
        </w:tc>
        <w:tc>
          <w:tcPr>
            <w:tcW w:w="3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w:t>
            </w: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Trade name</w:t>
            </w:r>
          </w:p>
        </w:tc>
        <w:tc>
          <w:tcPr>
            <w:tcW w:w="10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5,680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(5,680)</w:t>
            </w:r>
          </w:p>
        </w:tc>
        <w:tc>
          <w:tcPr>
            <w:tcW w:w="34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(6,267)</w:t>
            </w:r>
          </w:p>
        </w:tc>
        <w:tc>
          <w:tcPr>
            <w:tcW w:w="3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6,287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Total other acquired intangible assets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166,537</w:t>
            </w:r>
          </w:p>
        </w:tc>
        <w:tc>
          <w:tcPr>
            <w:tcW w:w="5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(131,140)</w:t>
            </w:r>
          </w:p>
        </w:tc>
        <w:tc>
          <w:tcPr>
            <w:tcW w:w="34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35,397</w:t>
            </w:r>
          </w:p>
        </w:tc>
        <w:tc>
          <w:tcPr>
            <w:tcW w:w="26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6"/>
              </w:rPr>
              <w:t>162,932</w:t>
            </w:r>
          </w:p>
        </w:tc>
        <w:tc>
          <w:tcPr>
            <w:tcW w:w="520" w:type="dxa"/>
            <w:vAlign w:val="bottom"/>
            <w:gridSpan w:val="2"/>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(115,762)</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47,170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April 4, 2014 and March 29,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r>
      <w:tr>
        <w:trPr>
          <w:trHeight w:val="149"/>
        </w:trPr>
        <w:tc>
          <w:tcPr>
            <w:tcW w:w="35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March 29,</w:t>
            </w:r>
          </w:p>
        </w:tc>
      </w:tr>
      <w:tr>
        <w:trPr>
          <w:trHeight w:val="161"/>
        </w:trPr>
        <w:tc>
          <w:tcPr>
            <w:tcW w:w="35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4,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Senior Notes</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2020 Notes</w:t>
            </w:r>
          </w:p>
        </w:tc>
        <w:tc>
          <w:tcPr>
            <w:tcW w:w="4060" w:type="dxa"/>
            <w:vAlign w:val="bottom"/>
            <w:gridSpan w:val="2"/>
          </w:tcPr>
          <w:p>
            <w:pPr>
              <w:ind w:left="39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575,000</w:t>
            </w: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575,000</w:t>
            </w:r>
          </w:p>
        </w:tc>
        <w:tc>
          <w:tcPr>
            <w:tcW w:w="60" w:type="dxa"/>
            <w:vAlign w:val="bottom"/>
          </w:tcPr>
          <w:p>
            <w:pPr>
              <w:spacing w:after="0"/>
              <w:rPr>
                <w:sz w:val="12"/>
                <w:szCs w:val="12"/>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Unamortized premium on the 2020 Notes</w:t>
            </w:r>
          </w:p>
        </w:tc>
        <w:tc>
          <w:tcPr>
            <w:tcW w:w="39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8,861</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9,993</w:t>
            </w:r>
          </w:p>
        </w:tc>
        <w:tc>
          <w:tcPr>
            <w:tcW w:w="60" w:type="dxa"/>
            <w:vAlign w:val="bottom"/>
            <w:shd w:val="clear" w:color="auto" w:fill="CCEEFF"/>
          </w:tcPr>
          <w:p>
            <w:pPr>
              <w:spacing w:after="0"/>
              <w:rPr>
                <w:sz w:val="12"/>
                <w:szCs w:val="12"/>
                <w:color w:val="auto"/>
              </w:rPr>
            </w:pPr>
          </w:p>
        </w:tc>
      </w:tr>
      <w:tr>
        <w:trPr>
          <w:trHeight w:val="156"/>
        </w:trPr>
        <w:tc>
          <w:tcPr>
            <w:tcW w:w="3520" w:type="dxa"/>
            <w:vAlign w:val="bottom"/>
          </w:tcPr>
          <w:p>
            <w:pPr>
              <w:spacing w:after="0" w:line="155" w:lineRule="exact"/>
              <w:rPr>
                <w:sz w:val="20"/>
                <w:szCs w:val="20"/>
                <w:color w:val="auto"/>
              </w:rPr>
            </w:pPr>
            <w:r>
              <w:rPr>
                <w:rFonts w:ascii="Arial" w:cs="Arial" w:eastAsia="Arial" w:hAnsi="Arial"/>
                <w:sz w:val="14"/>
                <w:szCs w:val="14"/>
                <w:color w:val="auto"/>
              </w:rPr>
              <w:t>Total senior notes, net of premium</w:t>
            </w:r>
          </w:p>
        </w:tc>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583,861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584,993</w:t>
            </w:r>
          </w:p>
        </w:tc>
        <w:tc>
          <w:tcPr>
            <w:tcW w:w="60" w:type="dxa"/>
            <w:vAlign w:val="bottom"/>
          </w:tcPr>
          <w:p>
            <w:pPr>
              <w:spacing w:after="0"/>
              <w:rPr>
                <w:sz w:val="13"/>
                <w:szCs w:val="13"/>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 of the senior notes</w:t>
            </w:r>
          </w:p>
        </w:tc>
        <w:tc>
          <w:tcPr>
            <w:tcW w:w="39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56"/>
        </w:trPr>
        <w:tc>
          <w:tcPr>
            <w:tcW w:w="3520" w:type="dxa"/>
            <w:vAlign w:val="bottom"/>
          </w:tcPr>
          <w:p>
            <w:pPr>
              <w:spacing w:after="0" w:line="155" w:lineRule="exact"/>
              <w:rPr>
                <w:sz w:val="20"/>
                <w:szCs w:val="20"/>
                <w:color w:val="auto"/>
              </w:rPr>
            </w:pPr>
            <w:r>
              <w:rPr>
                <w:rFonts w:ascii="Arial" w:cs="Arial" w:eastAsia="Arial" w:hAnsi="Arial"/>
                <w:sz w:val="14"/>
                <w:szCs w:val="14"/>
                <w:color w:val="auto"/>
              </w:rPr>
              <w:t>Total senior notes long-term, net</w:t>
            </w:r>
          </w:p>
        </w:tc>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583,861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584,993</w:t>
            </w:r>
          </w:p>
        </w:tc>
        <w:tc>
          <w:tcPr>
            <w:tcW w:w="60" w:type="dxa"/>
            <w:vAlign w:val="bottom"/>
          </w:tcPr>
          <w:p>
            <w:pPr>
              <w:spacing w:after="0"/>
              <w:rPr>
                <w:sz w:val="13"/>
                <w:szCs w:val="13"/>
                <w:color w:val="auto"/>
              </w:rPr>
            </w:pPr>
          </w:p>
        </w:tc>
      </w:tr>
      <w:tr>
        <w:trPr>
          <w:trHeight w:val="149"/>
        </w:trPr>
        <w:tc>
          <w:tcPr>
            <w:tcW w:w="3520" w:type="dxa"/>
            <w:vAlign w:val="bottom"/>
            <w:shd w:val="clear" w:color="auto" w:fill="CCEEFF"/>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Other Long-Term Debt</w:t>
            </w: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Revolving credit facility</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105,000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56"/>
        </w:trPr>
        <w:tc>
          <w:tcPr>
            <w:tcW w:w="35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2,756</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3,686</w:t>
            </w:r>
          </w:p>
        </w:tc>
        <w:tc>
          <w:tcPr>
            <w:tcW w:w="60" w:type="dxa"/>
            <w:vAlign w:val="bottom"/>
          </w:tcPr>
          <w:p>
            <w:pPr>
              <w:spacing w:after="0"/>
              <w:rPr>
                <w:sz w:val="13"/>
                <w:szCs w:val="13"/>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other long-term debt</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107,756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3,686</w:t>
            </w:r>
          </w:p>
        </w:tc>
        <w:tc>
          <w:tcPr>
            <w:tcW w:w="60" w:type="dxa"/>
            <w:vAlign w:val="bottom"/>
            <w:shd w:val="clear" w:color="auto" w:fill="CCEEFF"/>
          </w:tcPr>
          <w:p>
            <w:pPr>
              <w:spacing w:after="0"/>
              <w:rPr>
                <w:sz w:val="12"/>
                <w:szCs w:val="12"/>
                <w:color w:val="auto"/>
              </w:rPr>
            </w:pPr>
          </w:p>
        </w:tc>
      </w:tr>
      <w:tr>
        <w:trPr>
          <w:trHeight w:val="156"/>
        </w:trPr>
        <w:tc>
          <w:tcPr>
            <w:tcW w:w="3520" w:type="dxa"/>
            <w:vAlign w:val="bottom"/>
          </w:tcPr>
          <w:p>
            <w:pPr>
              <w:spacing w:after="0" w:line="149" w:lineRule="exact"/>
              <w:rPr>
                <w:sz w:val="20"/>
                <w:szCs w:val="20"/>
                <w:color w:val="auto"/>
              </w:rPr>
            </w:pPr>
            <w:r>
              <w:rPr>
                <w:rFonts w:ascii="Arial" w:cs="Arial" w:eastAsia="Arial" w:hAnsi="Arial"/>
                <w:sz w:val="14"/>
                <w:szCs w:val="14"/>
                <w:color w:val="auto"/>
              </w:rPr>
              <w:t>Less: current portion of other long-term debt</w:t>
            </w:r>
          </w:p>
        </w:tc>
        <w:tc>
          <w:tcPr>
            <w:tcW w:w="3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1,856</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2,230</w:t>
            </w:r>
          </w:p>
        </w:tc>
        <w:tc>
          <w:tcPr>
            <w:tcW w:w="60" w:type="dxa"/>
            <w:vAlign w:val="bottom"/>
          </w:tcPr>
          <w:p>
            <w:pPr>
              <w:spacing w:after="0"/>
              <w:rPr>
                <w:sz w:val="13"/>
                <w:szCs w:val="13"/>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debt, net</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105,900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1,456</w:t>
            </w:r>
          </w:p>
        </w:tc>
        <w:tc>
          <w:tcPr>
            <w:tcW w:w="60" w:type="dxa"/>
            <w:vAlign w:val="bottom"/>
            <w:shd w:val="clear" w:color="auto" w:fill="CCEEFF"/>
          </w:tcPr>
          <w:p>
            <w:pPr>
              <w:spacing w:after="0"/>
              <w:rPr>
                <w:sz w:val="12"/>
                <w:szCs w:val="12"/>
                <w:color w:val="auto"/>
              </w:rPr>
            </w:pPr>
          </w:p>
        </w:tc>
      </w:tr>
      <w:tr>
        <w:trPr>
          <w:trHeight w:val="149"/>
        </w:trPr>
        <w:tc>
          <w:tcPr>
            <w:tcW w:w="352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691,617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588,679</w:t>
            </w:r>
          </w:p>
        </w:tc>
        <w:tc>
          <w:tcPr>
            <w:tcW w:w="60" w:type="dxa"/>
            <w:vAlign w:val="bottom"/>
          </w:tcPr>
          <w:p>
            <w:pPr>
              <w:spacing w:after="0"/>
              <w:rPr>
                <w:sz w:val="12"/>
                <w:szCs w:val="12"/>
                <w:color w:val="auto"/>
              </w:rPr>
            </w:pPr>
          </w:p>
        </w:tc>
      </w:tr>
      <w:tr>
        <w:trPr>
          <w:trHeight w:val="149"/>
        </w:trPr>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w:t>
            </w:r>
          </w:p>
        </w:tc>
        <w:tc>
          <w:tcPr>
            <w:tcW w:w="39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1,856</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2,230</w:t>
            </w:r>
          </w:p>
        </w:tc>
        <w:tc>
          <w:tcPr>
            <w:tcW w:w="60" w:type="dxa"/>
            <w:vAlign w:val="bottom"/>
            <w:shd w:val="clear" w:color="auto" w:fill="CCEEFF"/>
          </w:tcPr>
          <w:p>
            <w:pPr>
              <w:spacing w:after="0"/>
              <w:rPr>
                <w:sz w:val="12"/>
                <w:szCs w:val="12"/>
                <w:color w:val="auto"/>
              </w:rPr>
            </w:pPr>
          </w:p>
        </w:tc>
      </w:tr>
      <w:tr>
        <w:trPr>
          <w:trHeight w:val="156"/>
        </w:trPr>
        <w:tc>
          <w:tcPr>
            <w:tcW w:w="3520" w:type="dxa"/>
            <w:vAlign w:val="bottom"/>
          </w:tcPr>
          <w:p>
            <w:pPr>
              <w:spacing w:after="0" w:line="155" w:lineRule="exact"/>
              <w:rPr>
                <w:sz w:val="20"/>
                <w:szCs w:val="20"/>
                <w:color w:val="auto"/>
              </w:rPr>
            </w:pPr>
            <w:r>
              <w:rPr>
                <w:rFonts w:ascii="Arial" w:cs="Arial" w:eastAsia="Arial" w:hAnsi="Arial"/>
                <w:sz w:val="14"/>
                <w:szCs w:val="14"/>
                <w:color w:val="auto"/>
              </w:rPr>
              <w:t>Long-term debt, net</w:t>
            </w:r>
          </w:p>
        </w:tc>
        <w:tc>
          <w:tcPr>
            <w:tcW w:w="4060" w:type="dxa"/>
            <w:vAlign w:val="bottom"/>
            <w:gridSpan w:val="2"/>
          </w:tcPr>
          <w:p>
            <w:pPr>
              <w:ind w:left="3920"/>
              <w:spacing w:after="0" w:line="155"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689,761</w:t>
            </w:r>
          </w:p>
        </w:tc>
        <w:tc>
          <w:tcPr>
            <w:tcW w:w="1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586,449</w:t>
            </w:r>
          </w:p>
        </w:tc>
        <w:tc>
          <w:tcPr>
            <w:tcW w:w="60" w:type="dxa"/>
            <w:vAlign w:val="bottom"/>
          </w:tcPr>
          <w:p>
            <w:pPr>
              <w:spacing w:after="0"/>
              <w:rPr>
                <w:sz w:val="13"/>
                <w:szCs w:val="13"/>
                <w:color w:val="auto"/>
              </w:rPr>
            </w:pPr>
          </w:p>
        </w:tc>
      </w:tr>
      <w:tr>
        <w:trPr>
          <w:trHeight w:val="20"/>
        </w:trPr>
        <w:tc>
          <w:tcPr>
            <w:tcW w:w="35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4060" w:type="dxa"/>
            <w:vAlign w:val="bottom"/>
            <w:gridSpan w:val="2"/>
          </w:tcPr>
          <w:p>
            <w:pPr>
              <w:ind w:left="1100"/>
              <w:spacing w:after="0"/>
              <w:rPr>
                <w:sz w:val="20"/>
                <w:szCs w:val="20"/>
                <w:color w:val="auto"/>
              </w:rPr>
            </w:pPr>
            <w:r>
              <w:rPr>
                <w:rFonts w:ascii="Arial" w:cs="Arial" w:eastAsia="Arial" w:hAnsi="Arial"/>
                <w:sz w:val="18"/>
                <w:szCs w:val="18"/>
                <w:color w:val="auto"/>
              </w:rPr>
              <w:t>F-21</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estimated aggregate amounts and timing of payments on the Company’s long-term debt obligations as of April 4, 2014 for the next five years and thereafter were as follows (excluding the effects of premium accretion on the 2020 Notes):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For the Fiscal Years Ending</w:t>
            </w:r>
          </w:p>
        </w:tc>
        <w:tc>
          <w:tcPr>
            <w:tcW w:w="2720" w:type="dxa"/>
            <w:vAlign w:val="bottom"/>
            <w:gridSpan w:val="4"/>
            <w:vMerge w:val="restart"/>
          </w:tcPr>
          <w:p>
            <w:pPr>
              <w:ind w:left="178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2018</w:t>
            </w:r>
          </w:p>
        </w:tc>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682,756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Plus: unamortized premium on the 2020 Notes</w:t>
            </w: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691,617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April 4, 2014, the Company’s Credit Facility provided a $500.0 million revolving line of credit (including up to $150.0 million of letters of credit), with a maturity date of November 26, 2018. The Company entered into the Credit Facility in November 2013 to replace its former $325.0 million revolving credit facility.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April 4, 2014, the weighted average effective interest rate on the Company’s outstanding borrowings under the Credit Facility was 2.41%. The Company has capitalized certain amounts of interest expense on the Credit Facility in connection with the construction of various assets during the construction period. The Credit Facility is required to be guaranteed by certain significant domestic subsidiaries of the Company (as defined in the Credit Facility) and secured by substantially all of the Company’s and any such subsidiaries’ assets. As of April 4, 2014, none of the Company’s subsidiaries guaranteed the Credit Facility.</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April 4, 2014. At April 4, 2014, the Company had $105.0 million in principal amount of outstanding borrowings under the Credit Facility and $39.5 million outstanding under standby letters of credit, leaving borrowing availability under the Credit Facility as of April 4, 2014 of $355.5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February 2012, the Company issued $275.0 million in principal amount of 2020 Notes in a private placement to institutional buyers, which were exchanged in August 2012 for substantially identical 2020 Notes that had been registered with the Securities and Exchange Commission (SEC). These initial 2020 Notes were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issued at face value and are recorded as long-term debt in the Company’s consolidated financial statements. On October 12,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consolidated financial statements and is being amortized as a reduction to interest expense on an effective interest rate basis over the term of those 2020 Notes.</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Credit Facility. During the second quarter of fiscal year 2014, the last remaining subsidiary guarantor, ViaSat Communications, Inc., was merged into the Company. Accordingly, as of April 4, 2014,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Facility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any, to the date of purchase (subject to the right of holders of record on the relevant record date to receive interest due on the relevant interest payment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connection with the Company’s issuance of the additional $300.0 million of 2020 Notes issued in October 2012, the Company repurchased and redeemed all of its $275.0 million in aggregate principal amount of 2016 Notes then outstanding through a cash tender offer and redemption, and the indenture governing the 2016 Notes was satisfied and discharged in accordance with its terms. On October 12, 2012, the Company purchased approximately $262.1 million in aggregate principal amount of the 2016 Notes pursuant to the tender offer. The total cash payment to purchase the tendered 2016 Notes in the tender offer, including accrued and unpaid interest up to, but excluding, the repurchase date and a $10 consent payment per $1,000 principal amount of notes tendered, was approximately $282.5 million. On November 14, 2012, the Company redeemed the remaining $12.9 million in aggregate principal amount of 2016 Notes pursuant to the optional redemption provisions of the 2016 Notes at a redemption price of 106.656% of the principal amount, plus accrued and unpaid interest to, but not including, the redemption date. The total cash payment to redeem the remaining 2016 Notes was approximately $14.0 million.</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repurchase and redemption of the 2016 Notes, the Company recognized a $26.5 million loss on extinguishment of debt during fiscal year 2013,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March 2013, the Company filed a universal shelf registration statement with the SEC for the future sale of an unlimited amount of debt securities, common stock, preferred stock,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4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2012 through various amendments of the Equity Participation Plan, the Company increased the maximum number of shares reserved for issuance under this plan to 21,400,000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w:t>
      </w:r>
    </w:p>
    <w:p>
      <w:pPr>
        <w:spacing w:after="0" w:line="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2.65 shares for each share of common stock during the period beginning on September 22, 2010 and ending prior to September 20, 2012. Restricted stock units are granted to eligible employees and directors and represent rights to receive shares of common stock at a future date. As of April 4, 2014, the Company had granted options and restricted stock units, net of cancellations, to purchase 9,890,833 and 4,437,058 shares of common stock, respectively, under the Equity Participation Plan.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September of 2013, the Company amended the Employee Stock Purchase Plan to increase the maximum number of shares reserved for issuance under this plan from 2,250,000 shares to 2,550,000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 As of April 4, 2014, the Company had issued 2,132,713 shares of common stock under the Employee Stock Purchase Plan.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stock-based compensation expense recognized in accordance with the authoritative guidance for share-based payments was as follows:</w:t>
      </w:r>
    </w:p>
    <w:p>
      <w:pPr>
        <w:spacing w:after="0" w:line="23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0</wp:posOffset>
            </wp:positionV>
            <wp:extent cx="2701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6600"/>
        <w:spacing w:after="0"/>
        <w:tabs>
          <w:tab w:leader="none" w:pos="8180" w:val="left"/>
          <w:tab w:leader="none" w:pos="9940" w:val="left"/>
        </w:tabs>
        <w:rPr>
          <w:sz w:val="20"/>
          <w:szCs w:val="20"/>
          <w:color w:val="auto"/>
        </w:rPr>
      </w:pPr>
      <w:r>
        <w:rPr>
          <w:rFonts w:ascii="Arial" w:cs="Arial" w:eastAsia="Arial" w:hAnsi="Arial"/>
          <w:sz w:val="14"/>
          <w:szCs w:val="14"/>
          <w:b w:val="1"/>
          <w:bCs w:val="1"/>
          <w:color w:val="auto"/>
        </w:rPr>
        <w:t>April 4, 2014</w:t>
      </w:r>
      <w:r>
        <w:rPr>
          <w:sz w:val="20"/>
          <w:szCs w:val="20"/>
          <w:color w:val="auto"/>
        </w:rPr>
        <w:tab/>
      </w:r>
      <w:r>
        <w:rPr>
          <w:rFonts w:ascii="Arial" w:cs="Arial" w:eastAsia="Arial" w:hAnsi="Arial"/>
          <w:sz w:val="14"/>
          <w:szCs w:val="14"/>
          <w:b w:val="1"/>
          <w:bCs w:val="1"/>
          <w:color w:val="auto"/>
        </w:rPr>
        <w:t>March 29, 2013</w:t>
      </w:r>
      <w:r>
        <w:rPr>
          <w:sz w:val="20"/>
          <w:szCs w:val="20"/>
          <w:color w:val="auto"/>
        </w:rPr>
        <w:tab/>
      </w:r>
      <w:r>
        <w:rPr>
          <w:rFonts w:ascii="Arial" w:cs="Arial" w:eastAsia="Arial" w:hAnsi="Arial"/>
          <w:sz w:val="12"/>
          <w:szCs w:val="12"/>
          <w:b w:val="1"/>
          <w:bCs w:val="1"/>
          <w:color w:val="auto"/>
        </w:rPr>
        <w:t>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-6985</wp:posOffset>
            </wp:positionV>
            <wp:extent cx="27012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830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before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w:t>
            </w:r>
          </w:p>
        </w:tc>
        <w:tc>
          <w:tcPr>
            <w:tcW w:w="4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4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(12,685)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(10,213)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net of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For fiscal years 2014, 2013 and 2012 the Company recorded no incremental tax benefits from stock options exercised and restricted stock unit award vesting as the excess tax benefit from stock options exercised and restricted stock unit award vesting increased the Company’s net operating loss carryforward.</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has no awards with market or performance conditions. The compensation cost that has been charged against income for the Equity Participation Plan under the authoritative guidance for share-based payments was $31.7 million, $25.5 million and $20.0 million, and for the Employee Stock Purchase Plan was $1.9 million, $1.5 million and $1.4 million, for the fiscal years ended April 4, 2014, March 29, 2013 and March 30, 2012, respectively. The Company capitalized $1.6 million, $1.0 million and $1.6 million of stock-based compensation expense as a part of the cost for software development for resale included in other assets and as a part of the machinery and equipment for the internal use included in property, equipment and satellites for fiscal years 2014, 2013 and 2012, respectively.</w:t>
      </w:r>
    </w:p>
    <w:p>
      <w:pPr>
        <w:spacing w:after="0" w:line="14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As of April 4, 2014, total unrecognized compensation cost related to unvested stock-based compensation arrangements granted under the Equity Participation Plan (including stock options and restricted stock units) and the Employee Stock Purchase Plan was $83.4 million and $0.5 million, respectively. These costs are expected to be recognized over a weighted average period of 2.6 years and 2.7 years, for stock options and restricted stock units, respectively, under the Equity Participation Plan and less than six months for the Employee Stock Purchase Plan.</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Stock options and employee stock purchase plan. </w:t>
      </w:r>
      <w:r>
        <w:rPr>
          <w:rFonts w:ascii="Arial" w:cs="Arial" w:eastAsia="Arial" w:hAnsi="Arial"/>
          <w:sz w:val="18"/>
          <w:szCs w:val="18"/>
          <w:color w:val="auto"/>
        </w:rPr>
        <w:t>The Company’s employee stock options typically have a simple four-year vesting schedule and a six to</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 contractual term. The weighted average estimated fair value of employee stock options granted and employee stock purchase plan shares issued during fiscal year 2014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was $23.03 and $16.32 per share, respectively, during fiscal year 2013 was $13.96 and $9.02 per share, respectively, and during fiscal year 2012 was $17.36 and $11.74 per share, respectively, using the Black-Scholes model with the following weighted average assumptions (annualized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Employee Stock Options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Employee Stock Purchase Plan</w:t>
            </w:r>
          </w:p>
        </w:tc>
      </w:tr>
      <w:tr>
        <w:trPr>
          <w:trHeight w:val="129"/>
        </w:trPr>
        <w:tc>
          <w:tcPr>
            <w:tcW w:w="506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352"/>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Fiscal Year</w:t>
            </w:r>
          </w:p>
        </w:tc>
        <w:tc>
          <w:tcPr>
            <w:tcW w:w="40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11"/>
                <w:szCs w:val="11"/>
                <w:color w:val="auto"/>
              </w:rPr>
            </w:pPr>
          </w:p>
        </w:tc>
      </w:tr>
      <w:tr>
        <w:trPr>
          <w:trHeight w:val="16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40.2%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Expected life</w:t>
            </w:r>
          </w:p>
        </w:tc>
        <w:tc>
          <w:tcPr>
            <w:tcW w:w="1100" w:type="dxa"/>
            <w:vAlign w:val="bottom"/>
            <w:gridSpan w:val="2"/>
          </w:tcPr>
          <w:p>
            <w:pPr>
              <w:jc w:val="center"/>
              <w:ind w:right="292"/>
              <w:spacing w:after="0"/>
              <w:rPr>
                <w:sz w:val="20"/>
                <w:szCs w:val="20"/>
                <w:color w:val="auto"/>
              </w:rPr>
            </w:pPr>
            <w:r>
              <w:rPr>
                <w:rFonts w:ascii="Arial" w:cs="Arial" w:eastAsia="Arial" w:hAnsi="Arial"/>
                <w:sz w:val="18"/>
                <w:szCs w:val="18"/>
                <w:color w:val="auto"/>
                <w:w w:val="83"/>
              </w:rPr>
              <w:t>5.5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0.5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0.5 years</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0.5 years</w:t>
            </w: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expected volatility is a measure of the amount by which its stock price is expected to fluctuate over the expected term of the stock-based award. The estimated volatilities for stock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 or life of employee stock options represents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stock option activity for fiscal year 2014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Weighted Average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per Share</w:t>
            </w: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Term in Years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29,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2,429,664</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8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363,750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59.71</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(592,971)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21.77</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4, 2014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2,200,443</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8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April 4, 2014</w:t>
            </w: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vMerge w:val="restart"/>
          </w:tcPr>
          <w:p>
            <w:pPr>
              <w:ind w:left="40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28.51</w:t>
            </w:r>
          </w:p>
        </w:tc>
        <w:tc>
          <w:tcPr>
            <w:tcW w:w="860" w:type="dxa"/>
            <w:vAlign w:val="bottom"/>
          </w:tcPr>
          <w:p>
            <w:pPr>
              <w:spacing w:after="0" w:line="20" w:lineRule="exact"/>
              <w:rPr>
                <w:sz w:val="1"/>
                <w:szCs w:val="1"/>
                <w:color w:val="auto"/>
              </w:rPr>
            </w:pPr>
          </w:p>
        </w:tc>
        <w:tc>
          <w:tcPr>
            <w:tcW w:w="150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1.65</w:t>
            </w:r>
          </w:p>
        </w:tc>
        <w:tc>
          <w:tcPr>
            <w:tcW w:w="540" w:type="dxa"/>
            <w:vAlign w:val="bottom"/>
            <w:gridSpan w:val="2"/>
            <w:vMerge w:val="restart"/>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53,179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1,446,858</w:t>
            </w:r>
          </w:p>
        </w:tc>
        <w:tc>
          <w:tcPr>
            <w:tcW w:w="4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total intrinsic value of stock options exercised during fiscal years 2014, 2013 and 2012 was $25.9 million, $23.5 million and $20.8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related to the Company’s stock options are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 Price</w:t>
            </w: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 Share</w:t>
            </w: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3,839,468</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368,000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(795,634)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3,401,634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290,700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(84,097)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(1,178,573)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29,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2,429,664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363,750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(592,971)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4,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2,200,443</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options issued under the Company’s stock option plans have an exercise price equal to the fair market value of the Company’s stock on the date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represent a right to receive shares of common stock at a future date determined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2014, 2013 and 2012, the Company recognized $26.7 million, $21.7 million and $16.7 million, respectively, in stock-based compensation expense related to these restricted stock unit awards.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2014, 2013 and 2012 was $61.52, $36.82 and $44.28, respectively. A summary of restricted stock unit activity for fiscal year 2014 is presented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060" w:type="dxa"/>
            <w:vAlign w:val="bottom"/>
            <w:gridSpan w:val="3"/>
          </w:tcPr>
          <w:p>
            <w:pPr>
              <w:jc w:val="center"/>
              <w:ind w:left="897"/>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52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29, 2013</w:t>
            </w:r>
          </w:p>
        </w:tc>
        <w:tc>
          <w:tcPr>
            <w:tcW w:w="15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1,785,664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Awarded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752,423</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3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(41,131)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Released</w:t>
            </w:r>
          </w:p>
        </w:tc>
        <w:tc>
          <w:tcPr>
            <w:tcW w:w="156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(654,020)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4, 2014</w:t>
            </w:r>
          </w:p>
        </w:tc>
        <w:tc>
          <w:tcPr>
            <w:tcW w:w="156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1,842,936</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Vested and deferred at April 4, 2014</w:t>
            </w:r>
          </w:p>
        </w:tc>
        <w:tc>
          <w:tcPr>
            <w:tcW w:w="1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vMerge w:val="restart"/>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gridSpan w:val="2"/>
            <w:vMerge w:val="continue"/>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120,351</w:t>
            </w:r>
          </w:p>
        </w:tc>
        <w:tc>
          <w:tcPr>
            <w:tcW w:w="5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total fair value of shares vested related to restricted stock units during the fiscal years 2014, 2013 and 2012 was $25.2 million, $21.8 million and $15.1 million, respectively.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related to the Company’s restricted stock units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1"/>
              </w:rPr>
              <w:t>Number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800" w:type="dxa"/>
            <w:vAlign w:val="bottom"/>
            <w:gridSpan w:val="7"/>
          </w:tcPr>
          <w:p>
            <w:pPr>
              <w:ind w:left="80"/>
              <w:spacing w:after="0" w:line="149" w:lineRule="exact"/>
              <w:rPr>
                <w:sz w:val="20"/>
                <w:szCs w:val="20"/>
                <w:color w:val="auto"/>
              </w:rPr>
            </w:pPr>
            <w:r>
              <w:rPr>
                <w:rFonts w:ascii="Arial" w:cs="Arial" w:eastAsia="Arial" w:hAnsi="Arial"/>
                <w:sz w:val="14"/>
                <w:szCs w:val="14"/>
                <w:b w:val="1"/>
                <w:bCs w:val="1"/>
                <w:color w:val="auto"/>
              </w:rPr>
              <w:t>Restricted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1"/>
              </w:rPr>
              <w:t>Units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1, 2011</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1,549,463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Awarded</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684,692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(36,474)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(472,311)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2012</w:t>
            </w: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1,725,370</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Awarded</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732,009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(59,482)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(612,233)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29, 2013</w:t>
            </w: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1,785,664</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Awarded</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752,423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(41,131)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(654,020)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4, 2014</w:t>
            </w: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1,842,936</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Shares Used In Computing Diluted Net (Loss) Income Per Share</w:t>
            </w: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ind w:left="4"/>
              <w:spacing w:after="0"/>
              <w:rPr>
                <w:sz w:val="20"/>
                <w:szCs w:val="20"/>
                <w:color w:val="auto"/>
              </w:rPr>
            </w:pPr>
            <w:r>
              <w:rPr>
                <w:rFonts w:ascii="Arial" w:cs="Arial" w:eastAsia="Arial" w:hAnsi="Arial"/>
                <w:sz w:val="14"/>
                <w:szCs w:val="14"/>
                <w:b w:val="1"/>
                <w:bCs w:val="1"/>
                <w:color w:val="auto"/>
                <w:w w:val="85"/>
              </w:rPr>
              <w:t>Fiscal Years Ended</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April 4,</w:t>
            </w:r>
          </w:p>
        </w:tc>
        <w:tc>
          <w:tcPr>
            <w:tcW w:w="320" w:type="dxa"/>
            <w:vAlign w:val="bottom"/>
          </w:tcPr>
          <w:p>
            <w:pPr>
              <w:spacing w:after="0"/>
              <w:rPr>
                <w:sz w:val="11"/>
                <w:szCs w:val="11"/>
                <w:color w:val="auto"/>
              </w:rPr>
            </w:pPr>
          </w:p>
        </w:tc>
        <w:tc>
          <w:tcPr>
            <w:tcW w:w="9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March 29,</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gridSpan w:val="2"/>
          </w:tcPr>
          <w:p>
            <w:pPr>
              <w:spacing w:after="0"/>
              <w:rPr>
                <w:sz w:val="20"/>
                <w:szCs w:val="20"/>
                <w:color w:val="auto"/>
              </w:rPr>
            </w:pPr>
            <w:r>
              <w:rPr>
                <w:rFonts w:ascii="Arial" w:cs="Arial" w:eastAsia="Arial" w:hAnsi="Arial"/>
                <w:sz w:val="18"/>
                <w:szCs w:val="18"/>
                <w:color w:val="auto"/>
                <w:w w:val="94"/>
              </w:rPr>
              <w:t>Common shares outstanding used in calculating basic net (loss) income per share attributable to ViaSat, Inc. common</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stockholders</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83"/>
              </w:rPr>
              <w:t>45,744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43,931</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42,325</w:t>
            </w:r>
          </w:p>
        </w:tc>
        <w:tc>
          <w:tcPr>
            <w:tcW w:w="0" w:type="dxa"/>
            <w:vAlign w:val="bottom"/>
          </w:tcPr>
          <w:p>
            <w:pPr>
              <w:spacing w:after="0"/>
              <w:rPr>
                <w:sz w:val="1"/>
                <w:szCs w:val="1"/>
                <w:color w:val="auto"/>
              </w:rPr>
            </w:pPr>
          </w:p>
        </w:tc>
      </w:tr>
      <w:tr>
        <w:trPr>
          <w:trHeight w:val="218"/>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 application of the treasury stock method</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Restricted stock units to acquire common stock as determined by application of the treasury stock method</w:t>
            </w:r>
          </w:p>
        </w:tc>
        <w:tc>
          <w:tcPr>
            <w:tcW w:w="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8"/>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Potentially issuable shares in connection with certain terms of the ViaSat 401(k) Profit Sharing Plan and Employee Stock</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 Plan equivalents</w:t>
            </w: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Shares used in computing diluted net (loss) income per share attributable to ViaSat, Inc. common stockholders</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83"/>
              </w:rPr>
              <w:t>45,744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43,931</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44,226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weighted average number of shares used to calculate basic and diluted net income (loss) per share attributable to ViaSat, Inc. common stockholders is the same for the fiscal years ended April 4, 2014 and March 29, 2013, as the Company incurred a net loss for the fiscal years ended April 4, 2014 and March 29, 2013 and inclusion of potential common stock would be antidilutive. Potential common stock excluded from the calculation for the fiscal year ended April 4, 2014 were 920,113 shares relating to stock options, 618,113 shares relating to restricted stock units and 151,619 shares relating to certain terms of the ViaSat 401(k) Profit Sharing Plan and Employee Stock Purchase Plan. Potential common stock excluded from the calculation for the fiscal year ended March 29, 2013 were 1,601,693 shares relating to stock options, 424,464 shares relating to restricted stock units and 162,517 shares relating to certain terms of the ViaSat 401(k) Profit Sharing Plan and Employee Stock Purchase Plan. Antidilutive shares relating to stock options excluded from the calculation were 379,618 for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fiscal year ended March 30, 2012. Antidilutive shares relating to restricted stock units excluded from the calculation were 1,682 for the fiscal year ended March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includes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85"/>
              </w:rPr>
              <w:t>Fiscal Years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2"/>
              </w:rPr>
              <w:t>April 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tcPr>
          <w:p>
            <w:pPr>
              <w:jc w:val="center"/>
              <w:ind w:right="332"/>
              <w:spacing w:after="0" w:line="129" w:lineRule="exact"/>
              <w:rPr>
                <w:sz w:val="20"/>
                <w:szCs w:val="20"/>
                <w:color w:val="auto"/>
              </w:rPr>
            </w:pPr>
            <w:r>
              <w:rPr>
                <w:rFonts w:ascii="Arial" w:cs="Arial" w:eastAsia="Arial" w:hAnsi="Arial"/>
                <w:sz w:val="14"/>
                <w:szCs w:val="14"/>
                <w:b w:val="1"/>
                <w:bCs w:val="1"/>
                <w:color w:val="auto"/>
                <w:w w:val="89"/>
              </w:rPr>
              <w:t>March 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4"/>
          </w:tcPr>
          <w:p>
            <w:pPr>
              <w:jc w:val="center"/>
              <w:ind w:right="7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 (benefit)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1440" w:type="dxa"/>
            <w:vAlign w:val="bottom"/>
            <w:gridSpan w:val="5"/>
          </w:tcPr>
          <w:p>
            <w:pPr>
              <w:jc w:val="right"/>
              <w:ind w:right="272"/>
              <w:spacing w:after="0"/>
              <w:rPr>
                <w:sz w:val="20"/>
                <w:szCs w:val="20"/>
                <w:color w:val="auto"/>
              </w:rPr>
            </w:pPr>
            <w:r>
              <w:rPr>
                <w:rFonts w:ascii="Arial" w:cs="Arial" w:eastAsia="Arial" w:hAnsi="Arial"/>
                <w:sz w:val="18"/>
                <w:szCs w:val="18"/>
                <w:color w:val="auto"/>
              </w:rPr>
              <w:t>$   (166)</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 (4,761)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3"/>
          </w:tcPr>
          <w:p>
            <w:pPr>
              <w:jc w:val="right"/>
              <w:ind w:right="272"/>
              <w:spacing w:after="0"/>
              <w:rPr>
                <w:sz w:val="20"/>
                <w:szCs w:val="20"/>
                <w:color w:val="auto"/>
              </w:rPr>
            </w:pPr>
            <w:r>
              <w:rPr>
                <w:rFonts w:ascii="Arial" w:cs="Arial" w:eastAsia="Arial" w:hAnsi="Arial"/>
                <w:sz w:val="18"/>
                <w:szCs w:val="18"/>
                <w:color w:val="auto"/>
              </w:rPr>
              <w:t>(64)</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(228)</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benefit</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(11,188)</w:t>
            </w:r>
          </w:p>
        </w:tc>
        <w:tc>
          <w:tcPr>
            <w:tcW w:w="1440" w:type="dxa"/>
            <w:vAlign w:val="bottom"/>
            <w:gridSpan w:val="5"/>
            <w:shd w:val="clear" w:color="auto" w:fill="CCEEFF"/>
          </w:tcPr>
          <w:p>
            <w:pPr>
              <w:jc w:val="right"/>
              <w:ind w:right="272"/>
              <w:spacing w:after="0"/>
              <w:rPr>
                <w:sz w:val="20"/>
                <w:szCs w:val="20"/>
                <w:color w:val="auto"/>
              </w:rPr>
            </w:pPr>
            <w:r>
              <w:rPr>
                <w:rFonts w:ascii="Arial" w:cs="Arial" w:eastAsia="Arial" w:hAnsi="Arial"/>
                <w:sz w:val="18"/>
                <w:szCs w:val="18"/>
                <w:color w:val="auto"/>
              </w:rPr>
              <w:t>(36,042)</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(16,032)</w:t>
            </w:r>
          </w:p>
        </w:tc>
        <w:tc>
          <w:tcPr>
            <w:tcW w:w="1440" w:type="dxa"/>
            <w:vAlign w:val="bottom"/>
            <w:gridSpan w:val="5"/>
          </w:tcPr>
          <w:p>
            <w:pPr>
              <w:jc w:val="right"/>
              <w:ind w:right="272"/>
              <w:spacing w:after="0"/>
              <w:rPr>
                <w:sz w:val="20"/>
                <w:szCs w:val="20"/>
                <w:color w:val="auto"/>
              </w:rPr>
            </w:pPr>
            <w:r>
              <w:rPr>
                <w:rFonts w:ascii="Arial" w:cs="Arial" w:eastAsia="Arial" w:hAnsi="Arial"/>
                <w:sz w:val="18"/>
                <w:szCs w:val="18"/>
                <w:color w:val="auto"/>
              </w:rPr>
              <w:t>(12,657)</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440" w:type="dxa"/>
            <w:vAlign w:val="bottom"/>
            <w:gridSpan w:val="5"/>
            <w:shd w:val="clear" w:color="auto" w:fill="CCEEFF"/>
          </w:tcPr>
          <w:p>
            <w:pPr>
              <w:jc w:val="right"/>
              <w:ind w:right="272"/>
              <w:spacing w:after="0"/>
              <w:rPr>
                <w:sz w:val="20"/>
                <w:szCs w:val="20"/>
                <w:color w:val="auto"/>
              </w:rPr>
            </w:pPr>
            <w:r>
              <w:rPr>
                <w:rFonts w:ascii="Arial" w:cs="Arial" w:eastAsia="Arial" w:hAnsi="Arial"/>
                <w:sz w:val="18"/>
                <w:szCs w:val="18"/>
                <w:color w:val="auto"/>
              </w:rPr>
              <w:t>(1,127)</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(27,297)</w:t>
            </w:r>
          </w:p>
        </w:tc>
        <w:tc>
          <w:tcPr>
            <w:tcW w:w="1440" w:type="dxa"/>
            <w:vAlign w:val="bottom"/>
            <w:gridSpan w:val="5"/>
          </w:tcPr>
          <w:p>
            <w:pPr>
              <w:jc w:val="right"/>
              <w:ind w:right="272"/>
              <w:spacing w:after="0"/>
              <w:rPr>
                <w:sz w:val="20"/>
                <w:szCs w:val="20"/>
                <w:color w:val="auto"/>
              </w:rPr>
            </w:pPr>
            <w:r>
              <w:rPr>
                <w:rFonts w:ascii="Arial" w:cs="Arial" w:eastAsia="Arial" w:hAnsi="Arial"/>
                <w:sz w:val="18"/>
                <w:szCs w:val="18"/>
                <w:color w:val="auto"/>
              </w:rPr>
              <w:t>(49,826)</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benefit from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(25,947)</w:t>
            </w:r>
          </w:p>
        </w:tc>
        <w:tc>
          <w:tcPr>
            <w:tcW w:w="1440" w:type="dxa"/>
            <w:vAlign w:val="bottom"/>
            <w:gridSpan w:val="5"/>
            <w:shd w:val="clear" w:color="auto" w:fill="CCEEFF"/>
          </w:tcPr>
          <w:p>
            <w:pPr>
              <w:jc w:val="right"/>
              <w:ind w:right="2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(50,054)</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(13,651)</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Significant components of the Company’s net deferred tax assets are as follows: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8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9"/>
              </w:rPr>
              <w:t>As of</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center"/>
              <w:ind w:right="512"/>
              <w:spacing w:after="0" w:line="129" w:lineRule="exact"/>
              <w:rPr>
                <w:sz w:val="20"/>
                <w:szCs w:val="20"/>
                <w:color w:val="auto"/>
              </w:rPr>
            </w:pPr>
            <w:r>
              <w:rPr>
                <w:rFonts w:ascii="Arial" w:cs="Arial" w:eastAsia="Arial" w:hAnsi="Arial"/>
                <w:sz w:val="14"/>
                <w:szCs w:val="14"/>
                <w:b w:val="1"/>
                <w:bCs w:val="1"/>
                <w:color w:val="auto"/>
                <w:w w:val="92"/>
              </w:rPr>
              <w:t>April 4,</w:t>
            </w:r>
          </w:p>
        </w:tc>
        <w:tc>
          <w:tcPr>
            <w:tcW w:w="80" w:type="dxa"/>
            <w:vAlign w:val="bottom"/>
          </w:tcPr>
          <w:p>
            <w:pPr>
              <w:spacing w:after="0"/>
              <w:rPr>
                <w:sz w:val="11"/>
                <w:szCs w:val="11"/>
                <w:color w:val="auto"/>
              </w:rPr>
            </w:pPr>
          </w:p>
        </w:tc>
        <w:tc>
          <w:tcPr>
            <w:tcW w:w="74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right"/>
              <w:ind w:right="5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$ 269,427</w:t>
            </w:r>
          </w:p>
        </w:tc>
        <w:tc>
          <w:tcPr>
            <w:tcW w:w="4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$ 240,402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 carryforwards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96,586</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82,910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Warranty reserve</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6,475</w:t>
            </w:r>
          </w:p>
        </w:tc>
        <w:tc>
          <w:tcPr>
            <w:tcW w:w="4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6,880</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4,128</w:t>
            </w:r>
          </w:p>
        </w:tc>
        <w:tc>
          <w:tcPr>
            <w:tcW w:w="4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reserve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6,636</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9,728</w:t>
            </w:r>
          </w:p>
        </w:tc>
        <w:tc>
          <w:tcPr>
            <w:tcW w:w="4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6,872</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(12,832)</w:t>
            </w:r>
          </w:p>
        </w:tc>
        <w:tc>
          <w:tcPr>
            <w:tcW w:w="4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(15,965)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393,900</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348,721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equipment and satellites and intangible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(246,293)</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(227,965)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liabilities</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(246,293)</w:t>
            </w:r>
          </w:p>
        </w:tc>
        <w:tc>
          <w:tcPr>
            <w:tcW w:w="40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(227,965)</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$ 147,607</w:t>
            </w: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$ 120,756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0" w:type="dxa"/>
            <w:vAlign w:val="bottom"/>
            <w:vMerge w:val="restart"/>
          </w:tcPr>
          <w:p>
            <w:pPr>
              <w:ind w:left="4620"/>
              <w:spacing w:after="0"/>
              <w:rPr>
                <w:sz w:val="20"/>
                <w:szCs w:val="20"/>
                <w:color w:val="auto"/>
              </w:rPr>
            </w:pPr>
            <w:r>
              <w:rPr>
                <w:rFonts w:ascii="Arial" w:cs="Arial" w:eastAsia="Arial" w:hAnsi="Arial"/>
                <w:sz w:val="18"/>
                <w:szCs w:val="18"/>
                <w:color w:val="auto"/>
              </w:rPr>
              <w:t>F-29</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5"/>
              </w:rPr>
              <w:t>Fiscal Years Ended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84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April 4,</w:t>
            </w:r>
          </w:p>
        </w:tc>
        <w:tc>
          <w:tcPr>
            <w:tcW w:w="360" w:type="dxa"/>
            <w:vAlign w:val="bottom"/>
          </w:tcPr>
          <w:p>
            <w:pPr>
              <w:spacing w:after="0"/>
              <w:rPr>
                <w:sz w:val="11"/>
                <w:szCs w:val="11"/>
                <w:color w:val="auto"/>
              </w:rPr>
            </w:pPr>
          </w:p>
        </w:tc>
        <w:tc>
          <w:tcPr>
            <w:tcW w:w="12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March 29,</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30,</w:t>
            </w: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4"/>
                <w:szCs w:val="14"/>
                <w:b w:val="1"/>
                <w:bCs w:val="1"/>
                <w:color w:val="auto"/>
                <w:w w:val="83"/>
              </w:rPr>
              <w:t>2013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 (12,132)</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(31,737)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(3,555)</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credits, net of valuation allowance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(13,149)</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(17,171)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(12,887)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Manufacturing deduction</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Non-deductible meals and entertainment</w:t>
            </w:r>
          </w:p>
        </w:tc>
        <w:tc>
          <w:tcPr>
            <w:tcW w:w="64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Total benefit from income taxes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(25,947)</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(50,054)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(13,651)</w:t>
            </w: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of April 4, 2014, the Company had federal and state research credit carryforwards of approximately $72.5 million and $81.3 million, respectively, which begin to expire in fiscal year 2026 and fiscal year 2018, respectively. As of April 4, 2014, the Company had alternative minimum tax (AMT) and foreign tax credit (FTC) carryforwards of approximately $0.4 million and $1.0 million, respectively. The AMT credit does not expire and the FTC begins to expire in fiscal year 2021. As of April 4, 2014, the Company had federal and state net operating loss carryforwards of approximately $787.7 million and $615.0 million, respectively, which begin to expire in fiscal year 2020 and fiscal year 2014, respectively.</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recognizes excess tax benefits associated with share-based compensation to stockholders’ equity only when realized. When assessing whether excess tax benefits relating to share-based compensation have been realized, the Company follows the with-and-without approach excluding any indirect effects of the excess tax deductions. Under this approach, excess tax benefits related to share-based compensation are not deemed to be realized until after the utilization of all other tax benefits available to the Company. During fiscal year 2014, the Company did not realize any excess tax benefits. As of April 4, 2014, the Company had $35.2 million of unrealized excess tax benefits associated with share-based compensation. These tax benefits will be accounted for as a credit to additional paid-in capital if and when realized, rather than a reduction of the provision for income taxes.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A valuation allowance of $12.8 million at April 4, 2014 and $16.0 million at March 29, 2013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 The Company’s analysis of the need for additional valuation allowance considered the losses incurred during the fiscal year ended April 4, 2014 and March 30, 2013. The loss incurred in fiscal year 2013 was more significant and a substantial portion of such loss resulted from an extinguishment of debt charge that was recorded upon the refinancing of the Company’s former 2016 Notes with the proceeds from the issuance of additional 2020 Notes, which provides a benefit to net income due to the lower interest rate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2020 Notes. The Company’s evaluation considered other factors, including the Company’s history of positive earnings, current earnings trends assuming the Company’s satellite subscriber base continues to grow, taxable income adjusted for certain items, the Company’s contractual backlog, and forecasted income by jurisdiction. The Company also considered the lengthy period over which these net deferred tax assets can be realized, and the Company’s history of not having federal tax loss carryforwards expire unused. Based on the Company’s analysis of the need for a valuation allowance on deferred tax assets, the Company released $3.1 million of the valuation allowance during fiscal year 2014 which related primarily to state net operating loss carryforwards as a result of the combination of the merger of ViaSat Communications, Inc. into ViaSat and changes in the apportioned state tax rates.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 Company has an “Ownership Change” as defined under Internal Revenue Code Section 382, it may have an annual limitation on the utilization of its net operating loss and tax credit carryforwards.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5"/>
              </w:rPr>
              <w:t>As of</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8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April 4,</w:t>
            </w:r>
          </w:p>
        </w:tc>
        <w:tc>
          <w:tcPr>
            <w:tcW w:w="34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2"/>
              </w:rPr>
              <w:t>March 29,</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30,</w:t>
            </w: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4"/>
                <w:szCs w:val="14"/>
                <w:b w:val="1"/>
                <w:bCs w:val="1"/>
                <w:color w:val="auto"/>
                <w:w w:val="89"/>
              </w:rPr>
              <w:t>2013</w:t>
            </w: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$34,491</w:t>
            </w:r>
          </w:p>
        </w:tc>
        <w:tc>
          <w:tcPr>
            <w:tcW w:w="3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$ 33,556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$ 33,015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(Decrease) increase related to prior year tax positions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1600" w:type="dxa"/>
            <w:vAlign w:val="bottom"/>
            <w:gridSpan w:val="3"/>
          </w:tcPr>
          <w:p>
            <w:pPr>
              <w:jc w:val="right"/>
              <w:ind w:right="660"/>
              <w:spacing w:after="0"/>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3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4,608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Statute expirations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(1,306)</w:t>
            </w: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(3,489)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(3,426)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Balance, end of fiscal year</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37,395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$ 34,491</w:t>
            </w:r>
          </w:p>
        </w:tc>
        <w:tc>
          <w:tcPr>
            <w:tcW w:w="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$ 33,556</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Of the total unrecognized tax benefits at April 4, 2014, approximately $30.3 million would reduce the Company’s annual effective tax rate if recognized, subject to valuation allowance consideration.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next twelve months it is reasonably possible that the amount of unrecognized tax benefits will not change significantly.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periodic audits by domestic and foreign tax authorities. By statute, the Company’s U.S. federal income tax returns are subject to examination by the Internal Revenue Service (“IRS”) for fiscal years 2011 through 2013. Additionally, tax credit carryovers that were generated in prior years and utilized in these years may also be subject to examination by the IRS. With few exceptions, fiscal years 2010 to 2013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April 4, 2014 and March 29,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Benefits</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Company is a sponsor of a voluntary deferred compensation plan under Section 401(k) of the Internal Revenue Code. Under the plan, the Company may make discretionary contributions to the plan which vest over six years. The Company’s discretionary matching contributions to the plan are based on the amount of employee contributions and can be made in cash or the Company’s common stock at the Company’s election. Subsequent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2014 fiscal year-end, the Company elected to settle the discretionary contributions liability in stock, consistent with fiscal year 2013. Based on the year-end common stock closing price, the Company would issue 157,435 shares of common stock at this time. Discretionary contributions accrued by the Company as of April 4, 2014 and March 29, 2013 amounted to $10.1 million and $8.0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8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In January 2008, the Company entered into several agreements with Space Systems/Loral, Inc. (SS/L), Loral Space &amp; Communications, Inc. (Loral) and Telesat Canada related to the Company’s high-capacity Ka-band spot-beam satellite, ViaSat-1, which was placed into service in January 2012. The Company’s contract with SS/L requires monthly in-orbit satellite performance incentive payments, including interest, over a fifteen-year period from December 2011 until December 2026, subject to the continued satisfactory performance of the satellite. The Company recorded the net present value of these expected future payments as a liability and as a component of the cost of the satellite during the third quarter of fiscal year 2012. As of April 4, 2014, the Company’s estimated satellite performance incentives obligation and accrued interest was $22.6 million, of which $2.0 million and $20.6 million have been classified current in accrued liabilities and non-current in other liabilities, respectively. Under the satellite construction contract with SS/L, the Company may incur up to $35.9 million in total costs for satellite performance incentives obligation and related interest earned over the fifteen-year period with potential future minimum payments of</w:t>
      </w:r>
    </w:p>
    <w:p>
      <w:pPr>
        <w:spacing w:after="0" w:line="6"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$1.9 million, $2.0 million, $2.1 million, $2.3 million and $2.4 million in fiscal years 2015, 2016, 2017, 2018 and 2019, respectively, with $25.2 million commitments thereafter.</w:t>
      </w:r>
    </w:p>
    <w:p>
      <w:pPr>
        <w:spacing w:after="0" w:line="13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$37.5 million, $2.6 million and $0.3 million in fiscal years 2015, 2016 and 2017, respectively, with no further commitments thereafter.</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leases office and other facilities under non-cancelable operating leases with initial terms ranging from one to fifteen years which expire between fiscal year 2015 and fiscal year 2024 and provide for pre-negotiated fixed rental rates during the terms of the lease. Certain of the Company’s facilities leases contain option provisions which allow for extension of the lease terms.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For operating leases, minimum lease payments, including minimum scheduled rent increases, are recognized as rent expense on a straight-line basis over the lease term as that term is defined in the authoritative guidance for leases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$22.3 million, $19.9 million and $18.9 million in fiscal years 2014, 2013 and 2012, respectively.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Years Ending</w:t>
            </w:r>
          </w:p>
        </w:tc>
        <w:tc>
          <w:tcPr>
            <w:tcW w:w="6540" w:type="dxa"/>
            <w:vAlign w:val="bottom"/>
            <w:gridSpan w:val="4"/>
          </w:tcPr>
          <w:p>
            <w:pPr>
              <w:ind w:left="5600"/>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2018</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148,100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2012, the Company filed a complaint against SS/L and its former parent company Loral in the United States District Court for the Southern District of California for patent infringement and breach of contract relating to the manufacture of ViaSat-1. The Company alleged, among other things, that SS/L and Loral infringed U.S. Patent Nos. 8,107,875, 8,010,043, 8,068,827 and 7,773,942 by making, using, offering to sell and/or selling other high-capacity broadband satellites, and requested monetary damages, injunctive relief and other remedies. On December 17, 2013, the Company voluntarily dismissed its claims against SS/L under U.S. Patent No. 7,773,942.</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15, 2012, SS/L filed counterclaims against the Company for patent infringement and declaratory relief. Specifically, SS/L sought a declaration that SS/L did not breach the parties’ contract for the manufacture of ViaSat-1, that SS/L did not infringe the Company’s patents described above, and that those patents are invalid and/or unenforceable. SS/L also alleged that the Company infringed U.S. Patent Nos. 6,879,808, 6,400,696 and 7,219,132. On November 13, 2013, the Court granted summary judgment of non-infringement of U.S. Patent No. 6,879,808 in favor of ViaSat. On December 17, 2013, SS/L dismissed its claims against ViaSat under U.S. Patent No. 7,219,132. A jury trial on the remaining claims began on March 25, 2014.</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Subsequent to the fiscal year end, on April 24, 2014, a federal court jury returned a verdict in favor of the Company, finding that ViaSat’s patents are valid, SS/L infringed all of ViaSat’s patents, and SS/L breached the parties’ non-disclosure agreement and the manufacturing contract for the ViaSat-1 satellite. The jury awarded the Company approximately $283.0 million in damages for patent infringement and breach of contract. The damages award is subject to post-trial motions and appeal. The Company intends to seek a permanent injunction preventing SS/L from continuing to infringe our patents and using the ViaSat’s intellectual property. During the trial, SS/L chose not to pursue its claim against the Company for infringing U.S. Patent No. 6,400,696. The Company intends to seek a judgment of non-infringement from the court with respect to that patent.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5, 2013, the Company filed a complaint against SS/L in the United States District Court for the Southern District of California for patent infringement and breach of contract relating to SS/L’s continued use of ViaSat’s patented technology and intellectual property in the manufacture of high-capacity broadband satellites. The Company alleges, among other things, that SS/L infringed U.S. Patent Nos. 7,230,908, 7,684,368, 8,213,929, 8,254,832, 8,285,202 and 8,548,377 by making, using, offering to sell and/or selling other high-capacity broadband satellites. The Company has requested monetary damages, injunctive relief and other remedies.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April 4, 2014 and March 29, 2013, the Company had $6.7 million and $7.2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Product Warranty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and amounts expected to be incurred beyond twelve months are classified as other liabilities in the consolidated financial statements.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2014, 2013 and 2012.</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Fiscal Years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April 4,</w:t>
            </w:r>
          </w:p>
        </w:tc>
        <w:tc>
          <w:tcPr>
            <w:tcW w:w="360" w:type="dxa"/>
            <w:vAlign w:val="bottom"/>
          </w:tcPr>
          <w:p>
            <w:pPr>
              <w:spacing w:after="0"/>
              <w:rPr>
                <w:sz w:val="11"/>
                <w:szCs w:val="11"/>
                <w:color w:val="auto"/>
              </w:rPr>
            </w:pPr>
          </w:p>
        </w:tc>
        <w:tc>
          <w:tcPr>
            <w:tcW w:w="11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March 29,</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34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960" w:type="dxa"/>
            <w:vAlign w:val="bottom"/>
            <w:gridSpan w:val="2"/>
          </w:tcPr>
          <w:p>
            <w:pPr>
              <w:jc w:val="center"/>
              <w:ind w:left="261"/>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tcPr>
          <w:p>
            <w:pPr>
              <w:spacing w:after="0"/>
              <w:rPr>
                <w:sz w:val="14"/>
                <w:szCs w:val="14"/>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$ 11,651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$ 12,942</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10,110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7,441</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Settlements made (in cash or in kind) during the period</w:t>
            </w:r>
          </w:p>
        </w:tc>
        <w:tc>
          <w:tcPr>
            <w:tcW w:w="2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(7,194)</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(4,985)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17,023</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$ 14,107</w:t>
            </w:r>
          </w:p>
        </w:tc>
        <w:tc>
          <w:tcPr>
            <w:tcW w:w="5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$ 11,651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00" w:type="dxa"/>
            <w:vAlign w:val="bottom"/>
          </w:tcPr>
          <w:p>
            <w:pPr>
              <w:spacing w:after="0"/>
              <w:rPr>
                <w:sz w:val="24"/>
                <w:szCs w:val="24"/>
                <w:color w:val="auto"/>
              </w:rPr>
            </w:pPr>
          </w:p>
        </w:tc>
        <w:tc>
          <w:tcPr>
            <w:tcW w:w="3620" w:type="dxa"/>
            <w:vAlign w:val="bottom"/>
            <w:gridSpan w:val="3"/>
          </w:tcPr>
          <w:p>
            <w:pPr>
              <w:jc w:val="right"/>
              <w:ind w:right="2900"/>
              <w:spacing w:after="0"/>
              <w:rPr>
                <w:sz w:val="20"/>
                <w:szCs w:val="20"/>
                <w:color w:val="auto"/>
              </w:rPr>
            </w:pPr>
            <w:r>
              <w:rPr>
                <w:rFonts w:ascii="Arial" w:cs="Arial" w:eastAsia="Arial" w:hAnsi="Arial"/>
                <w:sz w:val="18"/>
                <w:szCs w:val="18"/>
                <w:color w:val="auto"/>
              </w:rPr>
              <w:t>F-34</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components of accumulated other comprehensive income (loss), net of taxes,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0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April 4, 2014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60" w:type="dxa"/>
            <w:vAlign w:val="bottom"/>
          </w:tcPr>
          <w:p>
            <w:pPr>
              <w:spacing w:after="0"/>
              <w:rPr>
                <w:sz w:val="11"/>
                <w:szCs w:val="11"/>
                <w:color w:val="auto"/>
              </w:rPr>
            </w:pPr>
          </w:p>
        </w:tc>
        <w:tc>
          <w:tcPr>
            <w:tcW w:w="1280" w:type="dxa"/>
            <w:vAlign w:val="bottom"/>
            <w:gridSpan w:val="4"/>
          </w:tcPr>
          <w:p>
            <w:pPr>
              <w:jc w:val="center"/>
              <w:ind w:right="56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Foreign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Currency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5060" w:type="dxa"/>
            <w:vAlign w:val="bottom"/>
          </w:tcPr>
          <w:p>
            <w:pPr>
              <w:spacing w:after="0"/>
              <w:rPr>
                <w:sz w:val="12"/>
                <w:szCs w:val="12"/>
                <w:color w:val="auto"/>
              </w:rPr>
            </w:pPr>
          </w:p>
        </w:tc>
        <w:tc>
          <w:tcPr>
            <w:tcW w:w="128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8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5060" w:type="dxa"/>
            <w:vAlign w:val="bottom"/>
          </w:tcPr>
          <w:p>
            <w:pPr>
              <w:spacing w:after="0"/>
              <w:rPr>
                <w:sz w:val="14"/>
                <w:szCs w:val="14"/>
                <w:color w:val="auto"/>
              </w:rPr>
            </w:pPr>
          </w:p>
        </w:tc>
        <w:tc>
          <w:tcPr>
            <w:tcW w:w="12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Adjustments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r>
      <w:tr>
        <w:trPr>
          <w:trHeight w:val="142"/>
        </w:trPr>
        <w:tc>
          <w:tcPr>
            <w:tcW w:w="50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jc w:val="right"/>
              <w:ind w:right="8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r>
      <w:tr>
        <w:trPr>
          <w:trHeight w:val="208"/>
        </w:trPr>
        <w:tc>
          <w:tcPr>
            <w:tcW w:w="5060" w:type="dxa"/>
            <w:vAlign w:val="bottom"/>
          </w:tcPr>
          <w:p>
            <w:pPr>
              <w:spacing w:after="0"/>
              <w:rPr>
                <w:sz w:val="20"/>
                <w:szCs w:val="20"/>
                <w:color w:val="auto"/>
              </w:rPr>
            </w:pPr>
            <w:r>
              <w:rPr>
                <w:rFonts w:ascii="Arial" w:cs="Arial" w:eastAsia="Arial" w:hAnsi="Arial"/>
                <w:sz w:val="18"/>
                <w:szCs w:val="18"/>
                <w:color w:val="auto"/>
              </w:rPr>
              <w:t>Current period other comprehensive income (loss), net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tax</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1,488</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r>
      <w:tr>
        <w:trPr>
          <w:trHeight w:val="28"/>
        </w:trPr>
        <w:tc>
          <w:tcPr>
            <w:tcW w:w="5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4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88"/>
              </w:rPr>
              <w:t>March 29, 2013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Currency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8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48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Derivatives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r>
      <w:tr>
        <w:trPr>
          <w:trHeight w:val="208"/>
        </w:trPr>
        <w:tc>
          <w:tcPr>
            <w:tcW w:w="5060" w:type="dxa"/>
            <w:vAlign w:val="bottom"/>
          </w:tcPr>
          <w:p>
            <w:pPr>
              <w:spacing w:after="0"/>
              <w:rPr>
                <w:sz w:val="20"/>
                <w:szCs w:val="20"/>
                <w:color w:val="auto"/>
              </w:rPr>
            </w:pPr>
            <w:r>
              <w:rPr>
                <w:rFonts w:ascii="Arial" w:cs="Arial" w:eastAsia="Arial" w:hAnsi="Arial"/>
                <w:sz w:val="18"/>
                <w:szCs w:val="18"/>
                <w:color w:val="auto"/>
              </w:rPr>
              <w:t>Current period other comprehensive income (loss), net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tax</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(909)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r>
      <w:tr>
        <w:trPr>
          <w:trHeight w:val="28"/>
        </w:trPr>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88"/>
              </w:rPr>
              <w:t>March 30, 2012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Currency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8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48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Derivatives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5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4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r>
      <w:tr>
        <w:trPr>
          <w:trHeight w:val="208"/>
        </w:trPr>
        <w:tc>
          <w:tcPr>
            <w:tcW w:w="5060" w:type="dxa"/>
            <w:vAlign w:val="bottom"/>
          </w:tcPr>
          <w:p>
            <w:pPr>
              <w:spacing w:after="0"/>
              <w:rPr>
                <w:sz w:val="20"/>
                <w:szCs w:val="20"/>
                <w:color w:val="auto"/>
              </w:rPr>
            </w:pPr>
            <w:r>
              <w:rPr>
                <w:rFonts w:ascii="Arial" w:cs="Arial" w:eastAsia="Arial" w:hAnsi="Arial"/>
                <w:sz w:val="18"/>
                <w:szCs w:val="18"/>
                <w:color w:val="auto"/>
              </w:rPr>
              <w:t>Current period other comprehensive income (loss), net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tax</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r>
      <w:tr>
        <w:trPr>
          <w:trHeight w:val="28"/>
        </w:trPr>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amounts related to comprehensive income (loss) disclosures are not material for all of the periods presented.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80"/>
          </w:cols>
          <w:pgMar w:left="24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IP-based secure fixed and mobile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(losses) profits for the fiscal years ended April 4, 2014, March 29, 2013 and March 30, 2012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2"/>
              </w:rPr>
              <w:t>April 4,</w:t>
            </w:r>
          </w:p>
        </w:tc>
        <w:tc>
          <w:tcPr>
            <w:tcW w:w="380" w:type="dxa"/>
            <w:vAlign w:val="bottom"/>
          </w:tcPr>
          <w:p>
            <w:pPr>
              <w:spacing w:after="0"/>
              <w:rPr>
                <w:sz w:val="11"/>
                <w:szCs w:val="11"/>
                <w:color w:val="auto"/>
              </w:rPr>
            </w:pPr>
          </w:p>
        </w:tc>
        <w:tc>
          <w:tcPr>
            <w:tcW w:w="102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March 29,</w:t>
            </w:r>
          </w:p>
        </w:tc>
        <w:tc>
          <w:tcPr>
            <w:tcW w:w="1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2013</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Satellite Services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Product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4,715</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Service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390,666</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272,272</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219,674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390,708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276,987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222,672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Commercial Networks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Product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378,577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295,469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229,941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Service</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16,944</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19,471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395,521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314,940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251,677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Government Systems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Product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407,119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364,233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309,125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Service</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158,114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163,530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80,153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565,233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527,763</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389,278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Elimination of intersegment revenues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1,351,462</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1,119,690</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863,627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4"/>
                <w:szCs w:val="14"/>
                <w:color w:val="auto"/>
              </w:rPr>
              <w:t>Operating (losses) profits: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Satellite Services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(45,991)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(79,172)</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(16,790)</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Commercial Networks</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(12,134)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(12,974)</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Government Systems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76,038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85,473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Elimination of intersegment operating profits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Segment operating profit (loss) before corporate and amortization of acquired intangible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Corporate</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acquired intangible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(14,614)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(15,584)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(18,732)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3,299</w:t>
            </w: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(20,362)</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April 4, 2014 and March 29, 2013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April 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March 29,</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2014</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73,382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89,945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206,848</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238,057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509,685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1,450,430</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1,290,840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1,960,115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1,794,072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April 4, 2014 and March 29, 2013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w w:val="95"/>
              </w:rPr>
              <w:t>Other Acquired Intangible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81"/>
              </w:rPr>
              <w:t>Assets, Net</w:t>
            </w:r>
          </w:p>
        </w:tc>
        <w:tc>
          <w:tcPr>
            <w:tcW w:w="5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Goodwill</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85"/>
              </w:rPr>
              <w:t>As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1"/>
              <w:spacing w:after="0" w:line="129" w:lineRule="exact"/>
              <w:rPr>
                <w:sz w:val="20"/>
                <w:szCs w:val="20"/>
                <w:color w:val="auto"/>
              </w:rPr>
            </w:pPr>
            <w:r>
              <w:rPr>
                <w:rFonts w:ascii="Arial" w:cs="Arial" w:eastAsia="Arial" w:hAnsi="Arial"/>
                <w:sz w:val="14"/>
                <w:szCs w:val="14"/>
                <w:b w:val="1"/>
                <w:bCs w:val="1"/>
                <w:color w:val="auto"/>
                <w:w w:val="85"/>
              </w:rPr>
              <w:t>As of</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1"/>
                <w:szCs w:val="11"/>
                <w:color w:val="auto"/>
              </w:rPr>
            </w:pPr>
          </w:p>
        </w:tc>
      </w:tr>
      <w:tr>
        <w:trPr>
          <w:trHeight w:val="149"/>
        </w:trPr>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April 4,</w:t>
            </w:r>
          </w:p>
        </w:tc>
        <w:tc>
          <w:tcPr>
            <w:tcW w:w="6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March 29,</w:t>
            </w:r>
          </w:p>
        </w:tc>
        <w:tc>
          <w:tcPr>
            <w:tcW w:w="60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April 4,</w:t>
            </w:r>
          </w:p>
        </w:tc>
        <w:tc>
          <w:tcPr>
            <w:tcW w:w="5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29,</w:t>
            </w:r>
          </w:p>
        </w:tc>
      </w:tr>
      <w:tr>
        <w:trPr>
          <w:trHeight w:val="161"/>
        </w:trPr>
        <w:tc>
          <w:tcPr>
            <w:tcW w:w="6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Commercial Networks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44,148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43,648</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29,670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29,543</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47,170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83,627</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83,000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fiscal years ended April 4, 2014, March 29, 2013 and March 30, 2012 was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April 4,</w:t>
            </w:r>
          </w:p>
        </w:tc>
        <w:tc>
          <w:tcPr>
            <w:tcW w:w="460" w:type="dxa"/>
            <w:vAlign w:val="bottom"/>
          </w:tcPr>
          <w:p>
            <w:pPr>
              <w:spacing w:after="0"/>
              <w:rPr>
                <w:sz w:val="11"/>
                <w:szCs w:val="11"/>
                <w:color w:val="auto"/>
              </w:rPr>
            </w:pPr>
          </w:p>
        </w:tc>
        <w:tc>
          <w:tcPr>
            <w:tcW w:w="10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29,</w:t>
            </w:r>
          </w:p>
        </w:tc>
        <w:tc>
          <w:tcPr>
            <w:tcW w:w="2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30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04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83"/>
              </w:rPr>
              <w:t>2013</w:t>
            </w:r>
          </w:p>
        </w:tc>
        <w:tc>
          <w:tcPr>
            <w:tcW w:w="460" w:type="dxa"/>
            <w:vAlign w:val="bottom"/>
          </w:tcPr>
          <w:p>
            <w:pPr>
              <w:spacing w:after="0"/>
              <w:rPr>
                <w:sz w:val="14"/>
                <w:szCs w:val="14"/>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$11,058</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$ 12,401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Commercial Networks</w:t>
            </w:r>
          </w:p>
        </w:tc>
        <w:tc>
          <w:tcPr>
            <w:tcW w:w="3220" w:type="dxa"/>
            <w:vAlign w:val="bottom"/>
            <w:gridSpan w:val="3"/>
          </w:tcPr>
          <w:p>
            <w:pPr>
              <w:jc w:val="right"/>
              <w:ind w:right="200"/>
              <w:spacing w:after="0"/>
              <w:rPr>
                <w:sz w:val="20"/>
                <w:szCs w:val="20"/>
                <w:color w:val="auto"/>
              </w:rPr>
            </w:pPr>
            <w:r>
              <w:rPr>
                <w:rFonts w:ascii="Arial" w:cs="Arial" w:eastAsia="Arial" w:hAnsi="Arial"/>
                <w:sz w:val="18"/>
                <w:szCs w:val="18"/>
                <w:color w:val="auto"/>
              </w:rPr>
              <w:t>1,337</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666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2,219</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Total amortization of acquired intangible assets</w:t>
            </w:r>
          </w:p>
        </w:tc>
        <w:tc>
          <w:tcPr>
            <w:tcW w:w="2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14,614</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$ 15,584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$ 18,732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3220" w:type="dxa"/>
            <w:vAlign w:val="bottom"/>
            <w:gridSpan w:val="3"/>
          </w:tcPr>
          <w:p>
            <w:pPr>
              <w:jc w:val="right"/>
              <w:ind w:right="2240"/>
              <w:spacing w:after="0"/>
              <w:rPr>
                <w:sz w:val="20"/>
                <w:szCs w:val="20"/>
                <w:color w:val="auto"/>
              </w:rPr>
            </w:pPr>
            <w:r>
              <w:rPr>
                <w:rFonts w:ascii="Arial" w:cs="Arial" w:eastAsia="Arial" w:hAnsi="Arial"/>
                <w:sz w:val="18"/>
                <w:szCs w:val="18"/>
                <w:color w:val="auto"/>
              </w:rPr>
              <w:t>F-37</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geographic area for the fiscal years ended April 4, 2014, March 29, 2013 and March 30, 2012 was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85"/>
              </w:rPr>
              <w:t>Fiscal Years Ended</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40" w:type="dxa"/>
            <w:vAlign w:val="bottom"/>
          </w:tcPr>
          <w:p>
            <w:pPr>
              <w:spacing w:after="0"/>
              <w:rPr>
                <w:sz w:val="11"/>
                <w:szCs w:val="11"/>
                <w:color w:val="auto"/>
              </w:rPr>
            </w:pPr>
          </w:p>
        </w:tc>
        <w:tc>
          <w:tcPr>
            <w:tcW w:w="84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April 4,</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1"/>
                <w:szCs w:val="11"/>
                <w:color w:val="auto"/>
              </w:rPr>
            </w:pPr>
          </w:p>
        </w:tc>
        <w:tc>
          <w:tcPr>
            <w:tcW w:w="74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99"/>
              </w:rPr>
              <w:t>March 30,</w:t>
            </w:r>
          </w:p>
        </w:tc>
        <w:tc>
          <w:tcPr>
            <w:tcW w:w="100" w:type="dxa"/>
            <w:vAlign w:val="bottom"/>
          </w:tcPr>
          <w:p>
            <w:pPr>
              <w:spacing w:after="0"/>
              <w:rPr>
                <w:sz w:val="11"/>
                <w:szCs w:val="11"/>
                <w:color w:val="auto"/>
              </w:rPr>
            </w:pPr>
          </w:p>
        </w:tc>
      </w:tr>
      <w:tr>
        <w:trPr>
          <w:trHeight w:val="161"/>
        </w:trPr>
        <w:tc>
          <w:tcPr>
            <w:tcW w:w="5940" w:type="dxa"/>
            <w:vAlign w:val="bottom"/>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4"/>
          </w:tcPr>
          <w:p>
            <w:pPr>
              <w:jc w:val="center"/>
              <w:ind w:left="4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$ 1,044,737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840,899</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$ 680,655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840" w:type="dxa"/>
            <w:vAlign w:val="bottom"/>
          </w:tcPr>
          <w:p>
            <w:pPr>
              <w:jc w:val="right"/>
              <w:spacing w:after="0"/>
              <w:rPr>
                <w:sz w:val="20"/>
                <w:szCs w:val="20"/>
                <w:color w:val="auto"/>
              </w:rPr>
            </w:pPr>
            <w:r>
              <w:rPr>
                <w:rFonts w:ascii="Arial" w:cs="Arial" w:eastAsia="Arial" w:hAnsi="Arial"/>
                <w:sz w:val="18"/>
                <w:szCs w:val="18"/>
                <w:color w:val="auto"/>
              </w:rPr>
              <w:t>127,696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171,853</w:t>
            </w:r>
          </w:p>
        </w:tc>
        <w:tc>
          <w:tcPr>
            <w:tcW w:w="3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114,382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22,683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25,811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39,158</w:t>
            </w:r>
          </w:p>
        </w:tc>
        <w:tc>
          <w:tcPr>
            <w:tcW w:w="3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32,657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Total revenues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$ 1,351,462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1,119,690</w:t>
            </w:r>
          </w:p>
        </w:tc>
        <w:tc>
          <w:tcPr>
            <w:tcW w:w="3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$ 863,627</w:t>
            </w:r>
          </w:p>
        </w:tc>
      </w:tr>
      <w:tr>
        <w:trPr>
          <w:trHeight w:val="20"/>
        </w:trPr>
        <w:tc>
          <w:tcPr>
            <w:tcW w:w="5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book value of long-lived assets located outside the United States was $18.5 million at April 4, 2014 and March 29,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Certain Relationships and Related-Party Transactions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John Stenbit, a director of the Company since August 2004, also serves on the board of directors of Loral. The Company’s satellite construction contract with SS/L (a subsidiary of Loral prior to November 2012), under which the Company purchased ViaSat-1, requires the Company to make monthly satellite performance incentive payments, including interest, over a fifteen-year period from December 2011 to December 2026, subject to the continued satisfactory performance of the satellite (see Note 10). In addition, the Company entered into a beam sharing agreement with Loral, whereby Loral was responsible for contributing 15% of the total costs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 In March 2011, Loral entered into agreements with Telesat Canada (an entity owned by TeleSat Holdings, Inc., a joint venture between Loral and the Public Sector Pension Investment Board) pursuant to which Loral assigned to Telesat Canada and Telesat Canada assumed from Loral all of Loral’s rights and obligations with respect to the Canadian beams on ViaSat-1. Material amounts related to the satellite construction contract with SS/L and beam sharing agreement with Telesat Canada are disclosed in the tables below.</w:t>
      </w:r>
    </w:p>
    <w:p>
      <w:pPr>
        <w:spacing w:after="0" w:line="12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from time to time, the Company enters into various contracts in the ordinary course of business with Loral and Telesat Canada. Material amounts related to these contracts are disclosed in the tables below.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expense for the fiscal years ended April 4, 2014, March 29, 2013 and March 30, 2012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April 4, 2014</w:t>
            </w:r>
          </w:p>
        </w:tc>
        <w:tc>
          <w:tcPr>
            <w:tcW w:w="208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rPr>
              <w:t>March 29, 2013</w:t>
            </w:r>
          </w:p>
        </w:tc>
        <w:tc>
          <w:tcPr>
            <w:tcW w:w="1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30, 2012</w:t>
            </w:r>
          </w:p>
        </w:tc>
        <w:tc>
          <w:tcPr>
            <w:tcW w:w="10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tcPr>
          <w:p>
            <w:pPr>
              <w:jc w:val="right"/>
              <w:ind w:right="49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20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7,785</w:t>
            </w:r>
          </w:p>
        </w:tc>
        <w:tc>
          <w:tcPr>
            <w:tcW w:w="640" w:type="dxa"/>
            <w:vAlign w:val="bottom"/>
          </w:tcPr>
          <w:p>
            <w:pPr>
              <w:spacing w:after="0"/>
              <w:rPr>
                <w:sz w:val="19"/>
                <w:szCs w:val="19"/>
                <w:color w:val="auto"/>
              </w:rPr>
            </w:pPr>
          </w:p>
        </w:tc>
        <w:tc>
          <w:tcPr>
            <w:tcW w:w="1440" w:type="dxa"/>
            <w:vAlign w:val="bottom"/>
          </w:tcPr>
          <w:p>
            <w:pPr>
              <w:jc w:val="right"/>
              <w:ind w:right="539"/>
              <w:spacing w:after="0"/>
              <w:rPr>
                <w:sz w:val="20"/>
                <w:szCs w:val="20"/>
                <w:color w:val="auto"/>
              </w:rPr>
            </w:pPr>
            <w:r>
              <w:rPr>
                <w:rFonts w:ascii="Arial" w:cs="Arial" w:eastAsia="Arial" w:hAnsi="Arial"/>
                <w:sz w:val="18"/>
                <w:szCs w:val="18"/>
                <w:color w:val="auto"/>
              </w:rPr>
              <w:t>7,685</w:t>
            </w:r>
          </w:p>
        </w:tc>
        <w:tc>
          <w:tcPr>
            <w:tcW w:w="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r>
    </w:tbl>
    <w:p>
      <w:pPr>
        <w:ind w:left="1120" w:hanging="207"/>
        <w:spacing w:after="0" w:line="216" w:lineRule="auto"/>
        <w:tabs>
          <w:tab w:leader="none" w:pos="1120" w:val="left"/>
        </w:tabs>
        <w:numPr>
          <w:ilvl w:val="0"/>
          <w:numId w:val="38"/>
        </w:numPr>
        <w:rPr>
          <w:rFonts w:ascii="Arial" w:cs="Arial" w:eastAsia="Arial" w:hAnsi="Arial"/>
          <w:sz w:val="22"/>
          <w:szCs w:val="22"/>
          <w:color w:val="auto"/>
          <w:vertAlign w:val="subscript"/>
        </w:rPr>
      </w:pPr>
      <w:r>
        <w:rPr>
          <w:rFonts w:ascii="Arial" w:cs="Arial" w:eastAsia="Arial" w:hAnsi="Arial"/>
          <w:sz w:val="11"/>
          <w:szCs w:val="11"/>
          <w:color w:val="auto"/>
        </w:rPr>
        <w:t>Amount was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-79375</wp:posOffset>
            </wp:positionV>
            <wp:extent cx="7200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received and paid during the fiscal years ended April 4, 2014, March 29, 2013 and March 30, 2012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Fiscal Years Ended</w:t>
            </w: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3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April 4, 2014</w:t>
            </w:r>
          </w:p>
        </w:tc>
        <w:tc>
          <w:tcPr>
            <w:tcW w:w="196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March 29, 2013</w:t>
            </w:r>
          </w:p>
        </w:tc>
        <w:tc>
          <w:tcPr>
            <w:tcW w:w="1320" w:type="dxa"/>
            <w:vAlign w:val="bottom"/>
            <w:tcBorders>
              <w:bottom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w w:val="88"/>
              </w:rPr>
              <w:t>March 30, 2012</w:t>
            </w:r>
          </w:p>
        </w:tc>
        <w:tc>
          <w:tcPr>
            <w:tcW w:w="1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received:</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Telesat Canada – beam sharing agreement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right="76"/>
              <w:spacing w:after="0"/>
              <w:rPr>
                <w:sz w:val="20"/>
                <w:szCs w:val="20"/>
                <w:color w:val="auto"/>
              </w:rPr>
            </w:pPr>
            <w:r>
              <w:rPr>
                <w:rFonts w:ascii="Arial" w:cs="Arial" w:eastAsia="Arial" w:hAnsi="Arial"/>
                <w:sz w:val="18"/>
                <w:szCs w:val="18"/>
                <w:color w:val="auto"/>
                <w:w w:val="88"/>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Loral – ordinary course of business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76"/>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24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0" w:type="dxa"/>
            <w:vAlign w:val="bottom"/>
          </w:tcPr>
          <w:p>
            <w:pPr>
              <w:jc w:val="center"/>
              <w:ind w:right="116"/>
              <w:spacing w:after="0"/>
              <w:rPr>
                <w:sz w:val="20"/>
                <w:szCs w:val="20"/>
                <w:color w:val="auto"/>
              </w:rPr>
            </w:pPr>
            <w:r>
              <w:rPr>
                <w:rFonts w:ascii="Arial" w:cs="Arial" w:eastAsia="Arial" w:hAnsi="Arial"/>
                <w:sz w:val="18"/>
                <w:szCs w:val="18"/>
                <w:color w:val="auto"/>
                <w:w w:val="88"/>
              </w:rPr>
              <w:t>1,023</w:t>
            </w: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900" w:type="dxa"/>
            <w:vAlign w:val="bottom"/>
          </w:tcPr>
          <w:p>
            <w:pPr>
              <w:ind w:left="440"/>
              <w:spacing w:after="0"/>
              <w:rPr>
                <w:sz w:val="20"/>
                <w:szCs w:val="20"/>
                <w:color w:val="auto"/>
              </w:rPr>
            </w:pPr>
            <w:r>
              <w:rPr>
                <w:rFonts w:ascii="Arial" w:cs="Arial" w:eastAsia="Arial" w:hAnsi="Arial"/>
                <w:sz w:val="18"/>
                <w:szCs w:val="18"/>
                <w:color w:val="auto"/>
              </w:rPr>
              <w:t>SS/L – satellite construction contract (including</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900" w:type="dxa"/>
            <w:vAlign w:val="bottom"/>
          </w:tcPr>
          <w:p>
            <w:pPr>
              <w:ind w:left="660"/>
              <w:spacing w:after="0"/>
              <w:rPr>
                <w:sz w:val="20"/>
                <w:szCs w:val="20"/>
                <w:color w:val="auto"/>
              </w:rPr>
            </w:pPr>
            <w:r>
              <w:rPr>
                <w:rFonts w:ascii="Arial" w:cs="Arial" w:eastAsia="Arial" w:hAnsi="Arial"/>
                <w:sz w:val="18"/>
                <w:szCs w:val="18"/>
                <w:color w:val="auto"/>
              </w:rPr>
              <w:t>estimated satellite performance incentives)</w:t>
            </w:r>
          </w:p>
        </w:tc>
        <w:tc>
          <w:tcPr>
            <w:tcW w:w="240" w:type="dxa"/>
            <w:vAlign w:val="bottom"/>
          </w:tcPr>
          <w:p>
            <w:pPr>
              <w:spacing w:after="0"/>
              <w:rPr>
                <w:sz w:val="19"/>
                <w:szCs w:val="19"/>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0" w:type="dxa"/>
            <w:vAlign w:val="bottom"/>
          </w:tcPr>
          <w:p>
            <w:pPr>
              <w:jc w:val="center"/>
              <w:ind w:right="116"/>
              <w:spacing w:after="0"/>
              <w:rPr>
                <w:sz w:val="20"/>
                <w:szCs w:val="20"/>
                <w:color w:val="auto"/>
              </w:rPr>
            </w:pPr>
            <w:r>
              <w:rPr>
                <w:rFonts w:ascii="Arial" w:cs="Arial" w:eastAsia="Arial" w:hAnsi="Arial"/>
                <w:sz w:val="18"/>
                <w:szCs w:val="18"/>
                <w:color w:val="auto"/>
                <w:w w:val="88"/>
              </w:rPr>
              <w:t>1,609</w:t>
            </w: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19"/>
                <w:szCs w:val="19"/>
                <w:color w:val="auto"/>
              </w:rPr>
            </w:pPr>
          </w:p>
        </w:tc>
      </w:tr>
      <w:tr>
        <w:trPr>
          <w:trHeight w:val="217"/>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7,868</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88"/>
              </w:rPr>
              <w:t>7,358</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00" w:type="dxa"/>
            <w:vAlign w:val="bottom"/>
            <w:shd w:val="clear" w:color="auto" w:fill="CCEEFF"/>
          </w:tcPr>
          <w:p>
            <w:pPr>
              <w:spacing w:after="0"/>
              <w:rPr>
                <w:sz w:val="18"/>
                <w:szCs w:val="18"/>
                <w:color w:val="auto"/>
              </w:rPr>
            </w:pPr>
          </w:p>
        </w:tc>
      </w:tr>
    </w:tbl>
    <w:p>
      <w:pPr>
        <w:ind w:left="1120" w:hanging="207"/>
        <w:spacing w:after="0" w:line="222" w:lineRule="auto"/>
        <w:tabs>
          <w:tab w:leader="none" w:pos="1120" w:val="left"/>
        </w:tabs>
        <w:numPr>
          <w:ilvl w:val="0"/>
          <w:numId w:val="39"/>
        </w:numPr>
        <w:rPr>
          <w:rFonts w:ascii="Arial" w:cs="Arial" w:eastAsia="Arial" w:hAnsi="Arial"/>
          <w:sz w:val="22"/>
          <w:szCs w:val="22"/>
          <w:color w:val="auto"/>
          <w:vertAlign w:val="subscript"/>
        </w:rPr>
      </w:pPr>
      <w:r>
        <w:rPr>
          <w:rFonts w:ascii="Arial" w:cs="Arial" w:eastAsia="Arial" w:hAnsi="Arial"/>
          <w:sz w:val="11"/>
          <w:szCs w:val="11"/>
          <w:color w:val="auto"/>
        </w:rPr>
        <w:t>Amount was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-79375</wp:posOffset>
            </wp:positionV>
            <wp:extent cx="7200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920"/>
        <w:spacing w:after="0"/>
        <w:tabs>
          <w:tab w:leader="none" w:pos="11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Effective as of November 2012, SS/L is no longer a related party</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500"/>
          </w:cols>
          <w:pgMar w:left="240" w:top="459" w:right="11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000" w:type="dxa"/>
            <w:vAlign w:val="bottom"/>
            <w:gridSpan w:val="2"/>
          </w:tcPr>
          <w:p>
            <w:pPr>
              <w:jc w:val="center"/>
              <w:ind w:right="2697"/>
              <w:spacing w:after="0"/>
              <w:rPr>
                <w:sz w:val="20"/>
                <w:szCs w:val="20"/>
                <w:color w:val="auto"/>
              </w:rPr>
            </w:pPr>
            <w:r>
              <w:rPr>
                <w:rFonts w:ascii="Arial" w:cs="Arial" w:eastAsia="Arial" w:hAnsi="Arial"/>
                <w:sz w:val="18"/>
                <w:szCs w:val="18"/>
                <w:b w:val="1"/>
                <w:bCs w:val="1"/>
                <w:color w:val="auto"/>
                <w:w w:val="99"/>
              </w:rPr>
              <w:t>SCHEDULE II</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000" w:type="dxa"/>
            <w:vAlign w:val="bottom"/>
            <w:gridSpan w:val="2"/>
          </w:tcPr>
          <w:p>
            <w:pPr>
              <w:jc w:val="center"/>
              <w:ind w:right="2677"/>
              <w:spacing w:after="0"/>
              <w:rPr>
                <w:sz w:val="20"/>
                <w:szCs w:val="20"/>
                <w:color w:val="auto"/>
              </w:rPr>
            </w:pPr>
            <w:r>
              <w:rPr>
                <w:rFonts w:ascii="Arial" w:cs="Arial" w:eastAsia="Arial" w:hAnsi="Arial"/>
                <w:sz w:val="18"/>
                <w:szCs w:val="18"/>
                <w:b w:val="1"/>
                <w:bCs w:val="1"/>
                <w:color w:val="auto"/>
                <w:w w:val="98"/>
              </w:rPr>
              <w:t>VALUATION AND QUALIFYING ACCOUNTS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000" w:type="dxa"/>
            <w:vAlign w:val="bottom"/>
            <w:gridSpan w:val="2"/>
          </w:tcPr>
          <w:p>
            <w:pPr>
              <w:jc w:val="center"/>
              <w:ind w:right="2697"/>
              <w:spacing w:after="0"/>
              <w:rPr>
                <w:sz w:val="20"/>
                <w:szCs w:val="20"/>
                <w:color w:val="auto"/>
              </w:rPr>
            </w:pPr>
            <w:r>
              <w:rPr>
                <w:rFonts w:ascii="Arial" w:cs="Arial" w:eastAsia="Arial" w:hAnsi="Arial"/>
                <w:sz w:val="18"/>
                <w:szCs w:val="18"/>
                <w:b w:val="1"/>
                <w:bCs w:val="1"/>
                <w:color w:val="auto"/>
                <w:w w:val="89"/>
              </w:rPr>
              <w:t>For the Three Fiscal Years Ended April 4, 2014</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7"/>
              </w:rPr>
              <w:t>Allowance for</w:t>
            </w:r>
          </w:p>
        </w:tc>
        <w:tc>
          <w:tcPr>
            <w:tcW w:w="0" w:type="dxa"/>
            <w:vAlign w:val="bottom"/>
          </w:tcPr>
          <w:p>
            <w:pPr>
              <w:spacing w:after="0"/>
              <w:rPr>
                <w:sz w:val="1"/>
                <w:szCs w:val="1"/>
                <w:color w:val="auto"/>
              </w:rPr>
            </w:pPr>
          </w:p>
        </w:tc>
      </w:tr>
      <w:tr>
        <w:trPr>
          <w:trHeight w:val="149"/>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Doubtful</w:t>
            </w:r>
          </w:p>
        </w:tc>
        <w:tc>
          <w:tcPr>
            <w:tcW w:w="0" w:type="dxa"/>
            <w:vAlign w:val="bottom"/>
          </w:tcPr>
          <w:p>
            <w:pPr>
              <w:spacing w:after="0"/>
              <w:rPr>
                <w:sz w:val="1"/>
                <w:szCs w:val="1"/>
                <w:color w:val="auto"/>
              </w:rPr>
            </w:pPr>
          </w:p>
        </w:tc>
      </w:tr>
      <w:tr>
        <w:trPr>
          <w:trHeight w:val="155"/>
        </w:trPr>
        <w:tc>
          <w:tcPr>
            <w:tcW w:w="3600" w:type="dxa"/>
            <w:vAlign w:val="bottom"/>
            <w:gridSpan w:val="3"/>
            <w:vMerge w:val="continue"/>
          </w:tcPr>
          <w:p>
            <w:pPr>
              <w:spacing w:after="0"/>
              <w:rPr>
                <w:sz w:val="13"/>
                <w:szCs w:val="13"/>
                <w:color w:val="auto"/>
              </w:rPr>
            </w:pP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Accounts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8"/>
              <w:spacing w:after="0" w:line="136" w:lineRule="exact"/>
              <w:rPr>
                <w:sz w:val="20"/>
                <w:szCs w:val="20"/>
                <w:color w:val="auto"/>
              </w:rPr>
            </w:pPr>
            <w:r>
              <w:rPr>
                <w:rFonts w:ascii="Arial" w:cs="Arial" w:eastAsia="Arial" w:hAnsi="Arial"/>
                <w:sz w:val="14"/>
                <w:szCs w:val="14"/>
                <w:b w:val="1"/>
                <w:bCs w:val="1"/>
                <w:color w:val="auto"/>
              </w:rPr>
              <w:t>(In</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April 1, 2011</w:t>
            </w:r>
          </w:p>
        </w:tc>
        <w:tc>
          <w:tcPr>
            <w:tcW w:w="7000" w:type="dxa"/>
            <w:vAlign w:val="bottom"/>
            <w:gridSpan w:val="2"/>
            <w:shd w:val="clear" w:color="auto" w:fill="CCEEFF"/>
          </w:tcPr>
          <w:p>
            <w:pPr>
              <w:ind w:left="69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2"/>
        </w:trPr>
        <w:tc>
          <w:tcPr>
            <w:tcW w:w="3600" w:type="dxa"/>
            <w:vAlign w:val="bottom"/>
            <w:gridSpan w:val="3"/>
          </w:tcPr>
          <w:p>
            <w:pPr>
              <w:spacing w:after="0"/>
              <w:rPr>
                <w:sz w:val="20"/>
                <w:szCs w:val="20"/>
                <w:color w:val="auto"/>
              </w:rPr>
            </w:pPr>
            <w:r>
              <w:rPr>
                <w:rFonts w:ascii="Arial" w:cs="Arial" w:eastAsia="Arial" w:hAnsi="Arial"/>
                <w:sz w:val="18"/>
                <w:szCs w:val="18"/>
                <w:color w:val="auto"/>
              </w:rPr>
              <w:t>Balance, March 30, 2012</w:t>
            </w:r>
          </w:p>
        </w:tc>
        <w:tc>
          <w:tcPr>
            <w:tcW w:w="69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Deductions</w:t>
            </w:r>
          </w:p>
        </w:tc>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29, 2013</w:t>
            </w:r>
          </w:p>
        </w:tc>
        <w:tc>
          <w:tcPr>
            <w:tcW w:w="6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22"/>
        </w:trPr>
        <w:tc>
          <w:tcPr>
            <w:tcW w:w="3600" w:type="dxa"/>
            <w:vAlign w:val="bottom"/>
            <w:gridSpan w:val="3"/>
          </w:tcPr>
          <w:p>
            <w:pPr>
              <w:spacing w:after="0"/>
              <w:rPr>
                <w:sz w:val="20"/>
                <w:szCs w:val="20"/>
                <w:color w:val="auto"/>
              </w:rPr>
            </w:pPr>
            <w:r>
              <w:rPr>
                <w:rFonts w:ascii="Arial" w:cs="Arial" w:eastAsia="Arial" w:hAnsi="Arial"/>
                <w:sz w:val="18"/>
                <w:szCs w:val="18"/>
                <w:color w:val="auto"/>
              </w:rPr>
              <w:t>Balance, April 4, 2014</w:t>
            </w:r>
          </w:p>
        </w:tc>
        <w:tc>
          <w:tcPr>
            <w:tcW w:w="6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Balance, April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Charged (credited) to costs and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March 30, 2012</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Charged (credited)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Deductions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March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Charged (credited) to costs and expenses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April 4, 2014</w:t>
      </w:r>
    </w:p>
    <w:p>
      <w:pPr>
        <w:spacing w:after="0" w:line="212" w:lineRule="exact"/>
        <w:rPr>
          <w:sz w:val="20"/>
          <w:szCs w:val="20"/>
          <w:color w:val="auto"/>
        </w:rPr>
      </w:pPr>
    </w:p>
    <w:p>
      <w:pPr>
        <w:jc w:val="right"/>
        <w:ind w:right="39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Tax</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Asset</w:t>
      </w:r>
    </w:p>
    <w:p>
      <w:pPr>
        <w:ind w:left="100"/>
        <w:spacing w:after="0" w:line="221" w:lineRule="auto"/>
        <w:rPr>
          <w:sz w:val="20"/>
          <w:szCs w:val="20"/>
          <w:color w:val="auto"/>
        </w:rPr>
      </w:pPr>
      <w:r>
        <w:rPr>
          <w:rFonts w:ascii="Arial" w:cs="Arial" w:eastAsia="Arial" w:hAnsi="Arial"/>
          <w:sz w:val="14"/>
          <w:szCs w:val="14"/>
          <w:b w:val="1"/>
          <w:bCs w:val="1"/>
          <w:color w:val="auto"/>
        </w:rPr>
        <w:t>Valuation</w:t>
      </w:r>
    </w:p>
    <w:p>
      <w:pPr>
        <w:ind w:left="80"/>
        <w:spacing w:after="0"/>
        <w:rPr>
          <w:sz w:val="20"/>
          <w:szCs w:val="20"/>
          <w:color w:val="auto"/>
        </w:rPr>
      </w:pPr>
      <w:r>
        <w:rPr>
          <w:rFonts w:ascii="Arial" w:cs="Arial" w:eastAsia="Arial" w:hAnsi="Arial"/>
          <w:sz w:val="14"/>
          <w:szCs w:val="14"/>
          <w:b w:val="1"/>
          <w:bCs w:val="1"/>
          <w:color w:val="auto"/>
        </w:rPr>
        <w:t>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889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jc w:val="center"/>
        <w:ind w:right="100"/>
        <w:spacing w:after="0" w:line="224" w:lineRule="auto"/>
        <w:rPr>
          <w:sz w:val="20"/>
          <w:szCs w:val="20"/>
          <w:color w:val="auto"/>
        </w:rPr>
      </w:pPr>
      <w:r>
        <w:rPr>
          <w:rFonts w:ascii="Arial" w:cs="Arial" w:eastAsia="Arial" w:hAnsi="Arial"/>
          <w:sz w:val="14"/>
          <w:szCs w:val="14"/>
          <w:b w:val="1"/>
          <w:bCs w:val="1"/>
          <w:color w:val="auto"/>
        </w:rPr>
        <w:t>(In</w:t>
      </w:r>
    </w:p>
    <w:p>
      <w:pPr>
        <w:jc w:val="center"/>
        <w:ind w:right="100"/>
        <w:spacing w:after="0" w:line="228" w:lineRule="auto"/>
        <w:rPr>
          <w:sz w:val="20"/>
          <w:szCs w:val="20"/>
          <w:color w:val="auto"/>
        </w:rPr>
      </w:pPr>
      <w:r>
        <w:rPr>
          <w:rFonts w:ascii="Arial" w:cs="Arial" w:eastAsia="Arial" w:hAnsi="Arial"/>
          <w:sz w:val="14"/>
          <w:szCs w:val="14"/>
          <w:b w:val="1"/>
          <w:bCs w:val="1"/>
          <w:color w:val="auto"/>
        </w:rPr>
        <w:t>thousands)</w:t>
      </w:r>
    </w:p>
    <w:p>
      <w:pPr>
        <w:ind w:left="280" w:hanging="278"/>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12,671</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2,024</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889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280" w:hanging="278"/>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14,695</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1,270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889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280" w:hanging="278"/>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15,965</w:t>
      </w:r>
    </w:p>
    <w:p>
      <w:pPr>
        <w:spacing w:after="0" w:line="1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6"/>
          <w:szCs w:val="16"/>
          <w:color w:val="auto"/>
        </w:rPr>
        <w:t>(3,133)</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4889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280" w:hanging="278"/>
        <w:spacing w:after="0"/>
        <w:tabs>
          <w:tab w:leader="none" w:pos="280" w:val="left"/>
        </w:tabs>
        <w:numPr>
          <w:ilvl w:val="0"/>
          <w:numId w:val="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12,832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4889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2">
            <w:col w:w="9820" w:space="720"/>
            <w:col w:w="880"/>
          </w:cols>
          <w:pgMar w:left="240" w:top="459"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5300" w:type="dxa"/>
            <w:vAlign w:val="bottom"/>
          </w:tcPr>
          <w:p>
            <w:pPr>
              <w:spacing w:after="0"/>
              <w:rPr>
                <w:sz w:val="14"/>
                <w:szCs w:val="14"/>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r>
      <w:tr>
        <w:trPr>
          <w:trHeight w:val="201"/>
        </w:trPr>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ViaSat Worldwide Limited</w:t>
            </w: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China Services, Inc.</w:t>
            </w:r>
          </w:p>
        </w:tc>
        <w:tc>
          <w:tcPr>
            <w:tcW w:w="37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Europe S.r.L.</w:t>
            </w:r>
          </w:p>
        </w:tc>
        <w:tc>
          <w:tcPr>
            <w:tcW w:w="37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Australia PTY Limited</w:t>
            </w:r>
          </w:p>
        </w:tc>
        <w:tc>
          <w:tcPr>
            <w:tcW w:w="37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India Pvt. Ltd.</w:t>
            </w:r>
          </w:p>
        </w:tc>
        <w:tc>
          <w:tcPr>
            <w:tcW w:w="37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Antenna Systems S.A.</w:t>
            </w:r>
          </w:p>
        </w:tc>
        <w:tc>
          <w:tcPr>
            <w:tcW w:w="37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Satellite Ventures Holdings Luxembourg S.a.r.l.</w:t>
            </w:r>
          </w:p>
        </w:tc>
        <w:tc>
          <w:tcPr>
            <w:tcW w:w="372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IOM Licensing Holding Company Limited</w:t>
            </w:r>
          </w:p>
        </w:tc>
        <w:tc>
          <w:tcPr>
            <w:tcW w:w="372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(IOM) Limited</w:t>
            </w:r>
          </w:p>
        </w:tc>
        <w:tc>
          <w:tcPr>
            <w:tcW w:w="372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Peru S.R.L.</w:t>
            </w:r>
          </w:p>
        </w:tc>
        <w:tc>
          <w:tcPr>
            <w:tcW w:w="372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Stimulus, LLC</w:t>
            </w:r>
          </w:p>
        </w:tc>
        <w:tc>
          <w:tcPr>
            <w:tcW w:w="37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Inc. Limitada</w:t>
            </w:r>
          </w:p>
        </w:tc>
        <w:tc>
          <w:tcPr>
            <w:tcW w:w="372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WildBlue Communications Canada Corp.</w:t>
            </w:r>
          </w:p>
        </w:tc>
        <w:tc>
          <w:tcPr>
            <w:tcW w:w="372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Satellite Holdings Limited</w:t>
            </w:r>
          </w:p>
        </w:tc>
        <w:tc>
          <w:tcPr>
            <w:tcW w:w="37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UK Limited</w:t>
            </w:r>
          </w:p>
        </w:tc>
        <w:tc>
          <w:tcPr>
            <w:tcW w:w="37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Technologies Limited</w:t>
            </w:r>
          </w:p>
        </w:tc>
        <w:tc>
          <w:tcPr>
            <w:tcW w:w="37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LonoCloud, Inc.</w:t>
            </w:r>
          </w:p>
        </w:tc>
        <w:tc>
          <w:tcPr>
            <w:tcW w:w="372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hereby consent to the incorporation by reference in the Registration Statements on Form S-3 (File Nos. 333-74276, 333-85522, 333-135652, 333-141238, 333-143425, and 333-187150) and Form S-8 (File Nos. 333-21113, 333-40396, 333-67010, 333-68757, 333-82340, 333-109959, 333-131377, 333-131382, 333-153828, 333-159708, 333-160361, 333-167379, 333-169593, 333-182015, 333-184029 and 333-191326) of ViaSat, Inc. of our report dated May 23, 2014 relating to the financial statements, financial statement schedule and the effectiveness of internal control over financial reporting, which appears in this Form 10-K.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9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Bruce Dirks, Chief Financial Officer of ViaSat, Inc., certify that:</w:t>
      </w:r>
    </w:p>
    <w:p>
      <w:pPr>
        <w:spacing w:after="0" w:line="9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Dirks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1" w:lineRule="exact"/>
        <w:rPr>
          <w:sz w:val="20"/>
          <w:szCs w:val="20"/>
          <w:color w:val="auto"/>
        </w:rPr>
      </w:pPr>
    </w:p>
    <w:p>
      <w:pPr>
        <w:ind w:left="460" w:right="360" w:firstLine="443"/>
        <w:spacing w:after="0" w:line="332" w:lineRule="auto"/>
        <w:tabs>
          <w:tab w:leader="none" w:pos="113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fiscal year ended April 4, 2014 (the “Report”)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1" w:lineRule="exact"/>
        <w:rPr>
          <w:sz w:val="20"/>
          <w:szCs w:val="20"/>
          <w:color w:val="auto"/>
        </w:rPr>
      </w:pPr>
    </w:p>
    <w:p>
      <w:pPr>
        <w:ind w:left="460" w:right="360" w:firstLine="443"/>
        <w:spacing w:after="0" w:line="332"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fiscal year ended April 4, 2014 (the “Report”)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Dirks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2"/>
    </w:lvl>
    <w:lvl w:ilvl="1">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2"/>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2"/>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lowerRoman"/>
      <w:start w:val="2"/>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2019-12-05T22:26:50Z</dcterms:created>
  <dcterms:modified xsi:type="dcterms:W3CDTF">2019-12-05T22:26:50Z</dcterms:modified>
</cp:coreProperties>
</file>