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May 29, 2026</w:t>
      </w:r>
    </w:p>
    <w:p>
      <w:pPr>
        <w:spacing w:after="0" w:line="5" w:lineRule="exact"/>
        <w:rPr>
          <w:sz w:val="24"/>
          <w:szCs w:val="24"/>
          <w:color w:val="auto"/>
        </w:rPr>
      </w:pPr>
    </w:p>
    <w:p>
      <w:pPr>
        <w:ind w:left="852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812800</wp:posOffset>
            </wp:positionH>
            <wp:positionV relativeFrom="paragraph">
              <wp:posOffset>52070</wp:posOffset>
            </wp:positionV>
            <wp:extent cx="55492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49265" cy="6985"/>
                    </a:xfrm>
                    <a:prstGeom prst="rect">
                      <a:avLst/>
                    </a:prstGeom>
                    <a:noFill/>
                  </pic:spPr>
                </pic:pic>
              </a:graphicData>
            </a:graphic>
          </wp:anchor>
        </w:drawing>
        <w:drawing>
          <wp:anchor simplePos="0" relativeHeight="251657728" behindDoc="1" locked="0" layoutInCell="0" allowOverlap="1">
            <wp:simplePos x="0" y="0"/>
            <wp:positionH relativeFrom="column">
              <wp:posOffset>812800</wp:posOffset>
            </wp:positionH>
            <wp:positionV relativeFrom="paragraph">
              <wp:posOffset>86360</wp:posOffset>
            </wp:positionV>
            <wp:extent cx="55492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49265" cy="6985"/>
                    </a:xfrm>
                    <a:prstGeom prst="rect">
                      <a:avLst/>
                    </a:prstGeom>
                    <a:noFill/>
                  </pic:spPr>
                </pic:pic>
              </a:graphicData>
            </a:graphic>
          </wp:anchor>
        </w:drawing>
      </w:r>
    </w:p>
    <w:p>
      <w:pPr>
        <w:spacing w:after="0" w:line="15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115570</wp:posOffset>
            </wp:positionV>
            <wp:extent cx="11626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Form S-3</w:t>
      </w:r>
    </w:p>
    <w:p>
      <w:pPr>
        <w:spacing w:after="0" w:line="3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jc w:val="center"/>
        <w:ind w:right="-1140"/>
        <w:spacing w:after="0" w:line="237"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122555</wp:posOffset>
            </wp:positionV>
            <wp:extent cx="11626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2685" cy="6985"/>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203835</wp:posOffset>
            </wp:positionV>
            <wp:extent cx="1122045" cy="381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2045" cy="381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tbl>
      <w:tblPr>
        <w:tblLayout w:type="fixed"/>
        <w:tblInd w:w="2740" w:type="dxa"/>
        <w:tblCellMar>
          <w:top w:w="0" w:type="dxa"/>
          <w:left w:w="0" w:type="dxa"/>
          <w:bottom w:w="0" w:type="dxa"/>
          <w:right w:w="0" w:type="dxa"/>
        </w:tblCellMar>
      </w:tblPr>
      <w:tr>
        <w:trPr>
          <w:trHeight w:val="418"/>
        </w:trPr>
        <w:tc>
          <w:tcPr>
            <w:tcW w:w="1560" w:type="dxa"/>
            <w:vAlign w:val="bottom"/>
          </w:tcPr>
          <w:p>
            <w:pPr>
              <w:spacing w:after="0"/>
              <w:rPr>
                <w:sz w:val="24"/>
                <w:szCs w:val="24"/>
                <w:color w:val="auto"/>
              </w:rPr>
            </w:pPr>
          </w:p>
        </w:tc>
        <w:tc>
          <w:tcPr>
            <w:tcW w:w="4160" w:type="dxa"/>
            <w:vAlign w:val="bottom"/>
            <w:gridSpan w:val="3"/>
          </w:tcPr>
          <w:p>
            <w:pPr>
              <w:jc w:val="center"/>
              <w:ind w:right="1423"/>
              <w:spacing w:after="0"/>
              <w:rPr>
                <w:sz w:val="20"/>
                <w:szCs w:val="20"/>
                <w:color w:val="auto"/>
              </w:rPr>
            </w:pPr>
            <w:r>
              <w:rPr>
                <w:rFonts w:ascii="Times New Roman" w:cs="Times New Roman" w:eastAsia="Times New Roman" w:hAnsi="Times New Roman"/>
                <w:sz w:val="34"/>
                <w:szCs w:val="34"/>
                <w:b w:val="1"/>
                <w:bCs w:val="1"/>
                <w:color w:val="auto"/>
                <w:w w:val="98"/>
              </w:rPr>
              <w:t>VIASAT, INC.</w:t>
            </w:r>
          </w:p>
        </w:tc>
      </w:tr>
      <w:tr>
        <w:trPr>
          <w:trHeight w:val="150"/>
        </w:trPr>
        <w:tc>
          <w:tcPr>
            <w:tcW w:w="1560" w:type="dxa"/>
            <w:vAlign w:val="bottom"/>
          </w:tcPr>
          <w:p>
            <w:pPr>
              <w:spacing w:after="0"/>
              <w:rPr>
                <w:sz w:val="13"/>
                <w:szCs w:val="13"/>
                <w:color w:val="auto"/>
              </w:rPr>
            </w:pPr>
          </w:p>
        </w:tc>
        <w:tc>
          <w:tcPr>
            <w:tcW w:w="4160" w:type="dxa"/>
            <w:vAlign w:val="bottom"/>
            <w:gridSpan w:val="3"/>
          </w:tcPr>
          <w:p>
            <w:pPr>
              <w:jc w:val="center"/>
              <w:ind w:right="1423"/>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r>
      <w:tr>
        <w:trPr>
          <w:trHeight w:val="169"/>
        </w:trPr>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900" w:type="dxa"/>
            <w:vAlign w:val="bottom"/>
          </w:tcPr>
          <w:p>
            <w:pPr>
              <w:spacing w:after="0"/>
              <w:rPr>
                <w:sz w:val="14"/>
                <w:szCs w:val="14"/>
                <w:color w:val="auto"/>
              </w:rPr>
            </w:pPr>
          </w:p>
        </w:tc>
      </w:tr>
      <w:tr>
        <w:trPr>
          <w:trHeight w:val="218"/>
        </w:trPr>
        <w:tc>
          <w:tcPr>
            <w:tcW w:w="156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4160" w:type="dxa"/>
            <w:vAlign w:val="bottom"/>
            <w:gridSpan w:val="3"/>
          </w:tcPr>
          <w:p>
            <w:pPr>
              <w:jc w:val="center"/>
              <w:ind w:left="2925"/>
              <w:spacing w:after="0"/>
              <w:rPr>
                <w:sz w:val="20"/>
                <w:szCs w:val="20"/>
                <w:color w:val="auto"/>
              </w:rPr>
            </w:pPr>
            <w:r>
              <w:rPr>
                <w:rFonts w:ascii="Times New Roman" w:cs="Times New Roman" w:eastAsia="Times New Roman" w:hAnsi="Times New Roman"/>
                <w:sz w:val="11"/>
                <w:szCs w:val="11"/>
                <w:b w:val="1"/>
                <w:bCs w:val="1"/>
                <w:color w:val="auto"/>
              </w:rPr>
              <w:t>33-0174996</w:t>
            </w:r>
          </w:p>
        </w:tc>
      </w:tr>
      <w:tr>
        <w:trPr>
          <w:trHeight w:val="118"/>
        </w:trPr>
        <w:tc>
          <w:tcPr>
            <w:tcW w:w="1560" w:type="dxa"/>
            <w:vAlign w:val="bottom"/>
          </w:tcPr>
          <w:p>
            <w:pPr>
              <w:jc w:val="center"/>
              <w:ind w:right="23"/>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4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900" w:type="dxa"/>
            <w:vAlign w:val="bottom"/>
          </w:tcPr>
          <w:p>
            <w:pPr>
              <w:jc w:val="center"/>
              <w:ind w:left="703"/>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156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00" w:type="dxa"/>
            <w:vAlign w:val="bottom"/>
          </w:tcPr>
          <w:p>
            <w:pPr>
              <w:jc w:val="center"/>
              <w:ind w:left="703"/>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6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6155 El Camino Real</w:t>
      </w:r>
    </w:p>
    <w:p>
      <w:pPr>
        <w:jc w:val="center"/>
        <w:ind w:right="-1140"/>
        <w:spacing w:after="0" w:line="233" w:lineRule="auto"/>
        <w:rPr>
          <w:sz w:val="20"/>
          <w:szCs w:val="20"/>
          <w:color w:val="auto"/>
        </w:rPr>
      </w:pPr>
      <w:r>
        <w:rPr>
          <w:rFonts w:ascii="Times New Roman" w:cs="Times New Roman" w:eastAsia="Times New Roman" w:hAnsi="Times New Roman"/>
          <w:sz w:val="11"/>
          <w:szCs w:val="11"/>
          <w:b w:val="1"/>
          <w:bCs w:val="1"/>
          <w:color w:val="auto"/>
        </w:rPr>
        <w:t>Carlsbad, California 92009</w:t>
      </w:r>
    </w:p>
    <w:p>
      <w:pPr>
        <w:jc w:val="center"/>
        <w:ind w:right="-1140"/>
        <w:spacing w:after="0" w:line="224" w:lineRule="auto"/>
        <w:rPr>
          <w:sz w:val="20"/>
          <w:szCs w:val="20"/>
          <w:color w:val="auto"/>
        </w:rPr>
      </w:pPr>
      <w:r>
        <w:rPr>
          <w:rFonts w:ascii="Times New Roman" w:cs="Times New Roman" w:eastAsia="Times New Roman" w:hAnsi="Times New Roman"/>
          <w:sz w:val="11"/>
          <w:szCs w:val="11"/>
          <w:b w:val="1"/>
          <w:bCs w:val="1"/>
          <w:color w:val="auto"/>
        </w:rPr>
        <w:t>(760) 476-2200</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113665</wp:posOffset>
            </wp:positionV>
            <wp:extent cx="11626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3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Robert Blair, Esq.</w:t>
      </w:r>
    </w:p>
    <w:p>
      <w:pPr>
        <w:jc w:val="center"/>
        <w:ind w:right="-1140"/>
        <w:spacing w:after="0" w:line="233" w:lineRule="auto"/>
        <w:rPr>
          <w:sz w:val="20"/>
          <w:szCs w:val="20"/>
          <w:color w:val="auto"/>
        </w:rPr>
      </w:pPr>
      <w:r>
        <w:rPr>
          <w:rFonts w:ascii="Times New Roman" w:cs="Times New Roman" w:eastAsia="Times New Roman" w:hAnsi="Times New Roman"/>
          <w:sz w:val="11"/>
          <w:szCs w:val="11"/>
          <w:b w:val="1"/>
          <w:bCs w:val="1"/>
          <w:color w:val="auto"/>
        </w:rPr>
        <w:t>Senior Vice President, General Counsel and Secretary</w:t>
      </w:r>
    </w:p>
    <w:p>
      <w:pPr>
        <w:jc w:val="center"/>
        <w:ind w:right="-1140"/>
        <w:spacing w:after="0" w:line="224" w:lineRule="auto"/>
        <w:rPr>
          <w:sz w:val="20"/>
          <w:szCs w:val="20"/>
          <w:color w:val="auto"/>
        </w:rPr>
      </w:pPr>
      <w:r>
        <w:rPr>
          <w:rFonts w:ascii="Times New Roman" w:cs="Times New Roman" w:eastAsia="Times New Roman" w:hAnsi="Times New Roman"/>
          <w:sz w:val="11"/>
          <w:szCs w:val="11"/>
          <w:b w:val="1"/>
          <w:bCs w:val="1"/>
          <w:color w:val="auto"/>
        </w:rPr>
        <w:t>Viasat, Inc.</w:t>
      </w:r>
    </w:p>
    <w:p>
      <w:pPr>
        <w:jc w:val="center"/>
        <w:ind w:right="-1140"/>
        <w:spacing w:after="0" w:line="223" w:lineRule="auto"/>
        <w:rPr>
          <w:sz w:val="20"/>
          <w:szCs w:val="20"/>
          <w:color w:val="auto"/>
        </w:rPr>
      </w:pPr>
      <w:r>
        <w:rPr>
          <w:rFonts w:ascii="Times New Roman" w:cs="Times New Roman" w:eastAsia="Times New Roman" w:hAnsi="Times New Roman"/>
          <w:sz w:val="11"/>
          <w:szCs w:val="11"/>
          <w:b w:val="1"/>
          <w:bCs w:val="1"/>
          <w:color w:val="auto"/>
        </w:rPr>
        <w:t>6155 El Camino Real</w:t>
      </w:r>
    </w:p>
    <w:p>
      <w:pPr>
        <w:jc w:val="center"/>
        <w:ind w:right="-1140"/>
        <w:spacing w:after="0" w:line="224" w:lineRule="auto"/>
        <w:rPr>
          <w:sz w:val="20"/>
          <w:szCs w:val="20"/>
          <w:color w:val="auto"/>
        </w:rPr>
      </w:pPr>
      <w:r>
        <w:rPr>
          <w:rFonts w:ascii="Times New Roman" w:cs="Times New Roman" w:eastAsia="Times New Roman" w:hAnsi="Times New Roman"/>
          <w:sz w:val="11"/>
          <w:szCs w:val="11"/>
          <w:b w:val="1"/>
          <w:bCs w:val="1"/>
          <w:color w:val="auto"/>
        </w:rPr>
        <w:t>Carlsbad, California 92009</w:t>
      </w:r>
    </w:p>
    <w:p>
      <w:pPr>
        <w:jc w:val="center"/>
        <w:ind w:right="-1140"/>
        <w:spacing w:after="0" w:line="223" w:lineRule="auto"/>
        <w:rPr>
          <w:sz w:val="20"/>
          <w:szCs w:val="20"/>
          <w:color w:val="auto"/>
        </w:rPr>
      </w:pPr>
      <w:r>
        <w:rPr>
          <w:rFonts w:ascii="Times New Roman" w:cs="Times New Roman" w:eastAsia="Times New Roman" w:hAnsi="Times New Roman"/>
          <w:sz w:val="11"/>
          <w:szCs w:val="11"/>
          <w:b w:val="1"/>
          <w:bCs w:val="1"/>
          <w:color w:val="auto"/>
        </w:rPr>
        <w:t>(760) 476-2200</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113665</wp:posOffset>
            </wp:positionV>
            <wp:extent cx="11626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3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7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Craig M. Garner, Esq.</w:t>
      </w:r>
    </w:p>
    <w:p>
      <w:pPr>
        <w:jc w:val="center"/>
        <w:ind w:right="-1140"/>
        <w:spacing w:after="0" w:line="233" w:lineRule="auto"/>
        <w:rPr>
          <w:sz w:val="20"/>
          <w:szCs w:val="20"/>
          <w:color w:val="auto"/>
        </w:rPr>
      </w:pPr>
      <w:r>
        <w:rPr>
          <w:rFonts w:ascii="Times New Roman" w:cs="Times New Roman" w:eastAsia="Times New Roman" w:hAnsi="Times New Roman"/>
          <w:sz w:val="11"/>
          <w:szCs w:val="11"/>
          <w:b w:val="1"/>
          <w:bCs w:val="1"/>
          <w:color w:val="auto"/>
        </w:rPr>
        <w:t>Latham &amp; Watkins LLP</w:t>
      </w:r>
    </w:p>
    <w:p>
      <w:pPr>
        <w:jc w:val="center"/>
        <w:ind w:right="-1140"/>
        <w:spacing w:after="0" w:line="224" w:lineRule="auto"/>
        <w:rPr>
          <w:sz w:val="20"/>
          <w:szCs w:val="20"/>
          <w:color w:val="auto"/>
        </w:rPr>
      </w:pPr>
      <w:r>
        <w:rPr>
          <w:rFonts w:ascii="Times New Roman" w:cs="Times New Roman" w:eastAsia="Times New Roman" w:hAnsi="Times New Roman"/>
          <w:sz w:val="11"/>
          <w:szCs w:val="11"/>
          <w:b w:val="1"/>
          <w:bCs w:val="1"/>
          <w:color w:val="auto"/>
        </w:rPr>
        <w:t>12670 High Bluff Drive</w:t>
      </w:r>
    </w:p>
    <w:p>
      <w:pPr>
        <w:jc w:val="center"/>
        <w:ind w:right="-1140"/>
        <w:spacing w:after="0" w:line="223" w:lineRule="auto"/>
        <w:rPr>
          <w:sz w:val="20"/>
          <w:szCs w:val="20"/>
          <w:color w:val="auto"/>
        </w:rPr>
      </w:pPr>
      <w:r>
        <w:rPr>
          <w:rFonts w:ascii="Times New Roman" w:cs="Times New Roman" w:eastAsia="Times New Roman" w:hAnsi="Times New Roman"/>
          <w:sz w:val="11"/>
          <w:szCs w:val="11"/>
          <w:b w:val="1"/>
          <w:bCs w:val="1"/>
          <w:color w:val="auto"/>
        </w:rPr>
        <w:t>San Diego, California 92130</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(858) 523-5400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120015</wp:posOffset>
            </wp:positionV>
            <wp:extent cx="11626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46"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From time to time after the effective date of this registration statement.</w:t>
      </w:r>
    </w:p>
    <w:p>
      <w:pPr>
        <w:spacing w:after="0" w:line="63" w:lineRule="exact"/>
        <w:rPr>
          <w:sz w:val="24"/>
          <w:szCs w:val="24"/>
          <w:color w:val="auto"/>
        </w:rPr>
      </w:pPr>
    </w:p>
    <w:p>
      <w:pPr>
        <w:ind w:left="128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14" w:lineRule="exact"/>
        <w:rPr>
          <w:sz w:val="24"/>
          <w:szCs w:val="24"/>
          <w:color w:val="auto"/>
        </w:rPr>
      </w:pPr>
    </w:p>
    <w:p>
      <w:pPr>
        <w:ind w:left="1280" w:right="379"/>
        <w:spacing w:after="0" w:line="148"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399"/>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419"/>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139"/>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199"/>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319"/>
        <w:spacing w:after="0" w:line="263"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1280" w:type="dxa"/>
        <w:tblCellMar>
          <w:top w:w="0" w:type="dxa"/>
          <w:left w:w="0" w:type="dxa"/>
          <w:bottom w:w="0" w:type="dxa"/>
          <w:right w:w="0" w:type="dxa"/>
        </w:tblCellMar>
      </w:tblP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12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4280" w:type="dxa"/>
            <w:vAlign w:val="bottom"/>
          </w:tcPr>
          <w:p>
            <w:pPr>
              <w:ind w:left="2900"/>
              <w:spacing w:after="0"/>
              <w:rPr>
                <w:sz w:val="20"/>
                <w:szCs w:val="20"/>
                <w:color w:val="auto"/>
              </w:rPr>
            </w:pPr>
            <w:r>
              <w:rPr>
                <w:rFonts w:ascii="Times New Roman" w:cs="Times New Roman" w:eastAsia="Times New Roman" w:hAnsi="Times New Roman"/>
                <w:sz w:val="11"/>
                <w:szCs w:val="11"/>
                <w:color w:val="auto"/>
              </w:rPr>
              <w:t>Accelerated filer</w:t>
            </w:r>
          </w:p>
        </w:tc>
        <w:tc>
          <w:tcPr>
            <w:tcW w:w="200" w:type="dxa"/>
            <w:vAlign w:val="bottom"/>
          </w:tcPr>
          <w:p>
            <w:pPr>
              <w:ind w:left="1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5"/>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12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4280" w:type="dxa"/>
            <w:vAlign w:val="bottom"/>
          </w:tcPr>
          <w:p>
            <w:pPr>
              <w:ind w:left="29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200" w:type="dxa"/>
            <w:vAlign w:val="bottom"/>
          </w:tcPr>
          <w:p>
            <w:pPr>
              <w:ind w:left="1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5"/>
        </w:trPr>
        <w:tc>
          <w:tcPr>
            <w:tcW w:w="1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280" w:type="dxa"/>
            <w:vAlign w:val="bottom"/>
          </w:tcPr>
          <w:p>
            <w:pPr>
              <w:ind w:left="2900"/>
              <w:spacing w:after="0"/>
              <w:rPr>
                <w:sz w:val="20"/>
                <w:szCs w:val="20"/>
                <w:color w:val="auto"/>
              </w:rPr>
            </w:pPr>
            <w:r>
              <w:rPr>
                <w:rFonts w:ascii="Times New Roman" w:cs="Times New Roman" w:eastAsia="Times New Roman" w:hAnsi="Times New Roman"/>
                <w:sz w:val="11"/>
                <w:szCs w:val="11"/>
                <w:color w:val="auto"/>
              </w:rPr>
              <w:t>Emerging growth company</w:t>
            </w:r>
          </w:p>
        </w:tc>
        <w:tc>
          <w:tcPr>
            <w:tcW w:w="200" w:type="dxa"/>
            <w:vAlign w:val="bottom"/>
          </w:tcPr>
          <w:p>
            <w:pPr>
              <w:ind w:left="1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8" w:lineRule="exact"/>
        <w:rPr>
          <w:sz w:val="24"/>
          <w:szCs w:val="24"/>
          <w:color w:val="auto"/>
        </w:rPr>
      </w:pPr>
    </w:p>
    <w:p>
      <w:pPr>
        <w:ind w:left="1280" w:right="419"/>
        <w:spacing w:after="0" w:line="14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812800</wp:posOffset>
            </wp:positionH>
            <wp:positionV relativeFrom="paragraph">
              <wp:posOffset>55245</wp:posOffset>
            </wp:positionV>
            <wp:extent cx="554926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9265" cy="6985"/>
                    </a:xfrm>
                    <a:prstGeom prst="rect">
                      <a:avLst/>
                    </a:prstGeom>
                    <a:noFill/>
                  </pic:spPr>
                </pic:pic>
              </a:graphicData>
            </a:graphic>
          </wp:anchor>
        </w:drawing>
        <w:drawing>
          <wp:anchor simplePos="0" relativeHeight="251657728" behindDoc="1" locked="0" layoutInCell="0" allowOverlap="1">
            <wp:simplePos x="0" y="0"/>
            <wp:positionH relativeFrom="column">
              <wp:posOffset>812800</wp:posOffset>
            </wp:positionH>
            <wp:positionV relativeFrom="paragraph">
              <wp:posOffset>89535</wp:posOffset>
            </wp:positionV>
            <wp:extent cx="554926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9265" cy="6985"/>
                    </a:xfrm>
                    <a:prstGeom prst="rect">
                      <a:avLst/>
                    </a:prstGeom>
                    <a:noFill/>
                  </pic:spPr>
                </pic:pic>
              </a:graphicData>
            </a:graphic>
          </wp:anchor>
        </w:drawing>
      </w:r>
    </w:p>
    <w:p>
      <w:pPr>
        <w:sectPr>
          <w:pgSz w:w="11900" w:h="16838" w:orient="portrait"/>
          <w:cols w:equalWidth="0" w:num="1">
            <w:col w:w="10159"/>
          </w:cols>
          <w:pgMar w:left="300" w:top="20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139700</wp:posOffset>
            </wp:positionV>
            <wp:extent cx="1122045" cy="374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22045" cy="37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4"/>
          <w:szCs w:val="34"/>
          <w:b w:val="1"/>
          <w:bCs w:val="1"/>
          <w:color w:val="auto"/>
        </w:rPr>
        <w:t>VIASAT, INC.</w:t>
      </w:r>
    </w:p>
    <w:p>
      <w:pPr>
        <w:spacing w:after="0" w:line="19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3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Depositary Shares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177800</wp:posOffset>
            </wp:positionV>
            <wp:extent cx="116268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80" w:right="219" w:firstLine="349"/>
        <w:spacing w:after="0" w:line="273" w:lineRule="auto"/>
        <w:rPr>
          <w:sz w:val="20"/>
          <w:szCs w:val="20"/>
          <w:color w:val="auto"/>
        </w:rPr>
      </w:pPr>
      <w:r>
        <w:rPr>
          <w:rFonts w:ascii="Times New Roman" w:cs="Times New Roman" w:eastAsia="Times New Roman" w:hAnsi="Times New Roman"/>
          <w:sz w:val="14"/>
          <w:szCs w:val="14"/>
          <w:color w:val="auto"/>
        </w:rPr>
        <w:t>We may offer and sell the securities identified above, and any selling securityholders may offer and sell shares of common stock identified above, in each case from time to time in one or more offerings. This prospectus provides you with a general description of the securities. We will not receive any proceeds from the sale of our common stock by any selling securityholders.</w:t>
      </w:r>
    </w:p>
    <w:p>
      <w:pPr>
        <w:spacing w:after="0" w:line="136" w:lineRule="exact"/>
        <w:rPr>
          <w:sz w:val="20"/>
          <w:szCs w:val="20"/>
          <w:color w:val="auto"/>
        </w:rPr>
      </w:pPr>
    </w:p>
    <w:p>
      <w:pPr>
        <w:ind w:left="1280" w:right="219" w:firstLine="349"/>
        <w:spacing w:after="0" w:line="262" w:lineRule="auto"/>
        <w:rPr>
          <w:sz w:val="20"/>
          <w:szCs w:val="20"/>
          <w:color w:val="auto"/>
        </w:rPr>
      </w:pPr>
      <w:r>
        <w:rPr>
          <w:rFonts w:ascii="Times New Roman" w:cs="Times New Roman" w:eastAsia="Times New Roman" w:hAnsi="Times New Roman"/>
          <w:sz w:val="14"/>
          <w:szCs w:val="14"/>
          <w:color w:val="auto"/>
        </w:rPr>
        <w:t>Each time we offer and sell securities, we will provide a supplement to this prospectus that contains specific information about the offering and the amounts, prices and terms of the securities. In addition, in connection with certain offers and sales of securities by any selling securityholders, we and any selling securityholders will provide, if applicable, a prospectus supplement to this prospectus containing specific information about the offering by such selling securityholders and the amounts, prices and terms of the securities being offered.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spacing w:after="0" w:line="145" w:lineRule="exact"/>
        <w:rPr>
          <w:sz w:val="20"/>
          <w:szCs w:val="20"/>
          <w:color w:val="auto"/>
        </w:rPr>
      </w:pPr>
    </w:p>
    <w:p>
      <w:pPr>
        <w:ind w:left="1280" w:right="159" w:firstLine="349"/>
        <w:spacing w:after="0" w:line="261"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In addition, any selling securityholders may offer and sell shares of our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176530</wp:posOffset>
            </wp:positionV>
            <wp:extent cx="116268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80" w:right="399" w:firstLine="349"/>
        <w:spacing w:after="0" w:line="249"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THE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6 OF THIS PROSPECTUS AND ANY SIMILAR SECTION CONTAINED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167005</wp:posOffset>
            </wp:positionV>
            <wp:extent cx="116268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80" w:right="419" w:firstLine="349"/>
        <w:spacing w:after="0" w:line="291"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VSAT. On May 26, 2026, the last reported sale price of our common stock on the Nasdaq Global Select Market was $81.40 per share.</w:t>
      </w:r>
    </w:p>
    <w:p>
      <w:pPr>
        <w:spacing w:after="0" w:line="122" w:lineRule="exact"/>
        <w:rPr>
          <w:sz w:val="20"/>
          <w:szCs w:val="20"/>
          <w:color w:val="auto"/>
        </w:rPr>
      </w:pPr>
    </w:p>
    <w:p>
      <w:pPr>
        <w:ind w:left="1280" w:right="259" w:firstLine="349"/>
        <w:spacing w:after="0" w:line="29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154305</wp:posOffset>
            </wp:positionV>
            <wp:extent cx="116268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38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The date of this prospectus is May 29, 2026</w:t>
      </w:r>
    </w:p>
    <w:p>
      <w:pPr>
        <w:sectPr>
          <w:pgSz w:w="11900" w:h="16838" w:orient="portrait"/>
          <w:cols w:equalWidth="0" w:num="1">
            <w:col w:w="10159"/>
          </w:cols>
          <w:pgMar w:left="300" w:top="39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tbl>
      <w:tblPr>
        <w:tblLayout w:type="fixed"/>
        <w:tblInd w:w="1280" w:type="dxa"/>
        <w:tblCellMar>
          <w:top w:w="0" w:type="dxa"/>
          <w:left w:w="0" w:type="dxa"/>
          <w:bottom w:w="0" w:type="dxa"/>
          <w:right w:w="0" w:type="dxa"/>
        </w:tblCellMar>
      </w:tblPr>
      <w:tr>
        <w:trPr>
          <w:trHeight w:val="137"/>
        </w:trPr>
        <w:tc>
          <w:tcPr>
            <w:tcW w:w="618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6180" w:type="dxa"/>
            <w:vAlign w:val="bottom"/>
            <w:gridSpan w:val="15"/>
            <w:vMerge w:val="continue"/>
          </w:tcPr>
          <w:p>
            <w:pPr>
              <w:spacing w:after="0"/>
              <w:rPr>
                <w:sz w:val="11"/>
                <w:szCs w:val="11"/>
                <w:color w:val="auto"/>
              </w:rPr>
            </w:pPr>
          </w:p>
        </w:tc>
        <w:tc>
          <w:tcPr>
            <w:tcW w:w="2280" w:type="dxa"/>
            <w:vAlign w:val="bottom"/>
          </w:tcPr>
          <w:p>
            <w:pPr>
              <w:spacing w:after="0"/>
              <w:rPr>
                <w:sz w:val="11"/>
                <w:szCs w:val="11"/>
                <w:color w:val="auto"/>
              </w:rPr>
            </w:pPr>
          </w:p>
        </w:tc>
        <w:tc>
          <w:tcPr>
            <w:tcW w:w="24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80" w:type="dxa"/>
            <w:vAlign w:val="bottom"/>
            <w:tcBorders>
              <w:bottom w:val="single" w:sz="8" w:color="0000EE"/>
            </w:tcBorders>
            <w:gridSpan w:val="13"/>
          </w:tcPr>
          <w:p>
            <w:pPr>
              <w:spacing w:after="0" w:line="151"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3100" w:type="dxa"/>
            <w:vAlign w:val="bottom"/>
            <w:gridSpan w:val="2"/>
          </w:tcPr>
          <w:p>
            <w:pPr>
              <w:spacing w:after="0"/>
              <w:rPr>
                <w:sz w:val="13"/>
                <w:szCs w:val="13"/>
                <w:color w:val="auto"/>
              </w:rPr>
            </w:pP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51"/>
        </w:trPr>
        <w:tc>
          <w:tcPr>
            <w:tcW w:w="3920" w:type="dxa"/>
            <w:vAlign w:val="bottom"/>
            <w:tcBorders>
              <w:bottom w:val="single" w:sz="8" w:color="0000EE"/>
            </w:tcBorders>
            <w:gridSpan w:val="14"/>
          </w:tcPr>
          <w:p>
            <w:pPr>
              <w:spacing w:after="0" w:line="151" w:lineRule="exact"/>
              <w:rPr>
                <w:sz w:val="20"/>
                <w:szCs w:val="20"/>
                <w:color w:val="auto"/>
              </w:rPr>
            </w:pPr>
            <w:r>
              <w:rPr>
                <w:rFonts w:ascii="Times New Roman" w:cs="Times New Roman" w:eastAsia="Times New Roman" w:hAnsi="Times New Roman"/>
                <w:sz w:val="14"/>
                <w:szCs w:val="14"/>
                <w:color w:val="0000EE"/>
              </w:rPr>
              <w:t>Where You Can Find More Information; Incorporation by Reference</w:t>
            </w:r>
          </w:p>
        </w:tc>
        <w:tc>
          <w:tcPr>
            <w:tcW w:w="2260" w:type="dxa"/>
            <w:vAlign w:val="bottom"/>
          </w:tcPr>
          <w:p>
            <w:pPr>
              <w:spacing w:after="0"/>
              <w:rPr>
                <w:sz w:val="13"/>
                <w:szCs w:val="13"/>
                <w:color w:val="auto"/>
              </w:rPr>
            </w:pP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1"/>
        </w:trPr>
        <w:tc>
          <w:tcPr>
            <w:tcW w:w="820" w:type="dxa"/>
            <w:vAlign w:val="bottom"/>
            <w:tcBorders>
              <w:bottom w:val="single" w:sz="8" w:color="0000EE"/>
            </w:tcBorders>
            <w:gridSpan w:val="4"/>
          </w:tcPr>
          <w:p>
            <w:pPr>
              <w:spacing w:after="0" w:line="151" w:lineRule="exact"/>
              <w:rPr>
                <w:sz w:val="20"/>
                <w:szCs w:val="20"/>
                <w:color w:val="auto"/>
              </w:rPr>
            </w:pPr>
            <w:r>
              <w:rPr>
                <w:rFonts w:ascii="Times New Roman" w:cs="Times New Roman" w:eastAsia="Times New Roman" w:hAnsi="Times New Roman"/>
                <w:sz w:val="14"/>
                <w:szCs w:val="14"/>
                <w:color w:val="0000EE"/>
              </w:rPr>
              <w:t>Our Company</w:t>
            </w:r>
          </w:p>
        </w:tc>
        <w:tc>
          <w:tcPr>
            <w:tcW w:w="5360" w:type="dxa"/>
            <w:vAlign w:val="bottom"/>
            <w:gridSpan w:val="11"/>
          </w:tcPr>
          <w:p>
            <w:pPr>
              <w:spacing w:after="0"/>
              <w:rPr>
                <w:sz w:val="13"/>
                <w:szCs w:val="13"/>
                <w:color w:val="auto"/>
              </w:rPr>
            </w:pP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51"/>
        </w:trPr>
        <w:tc>
          <w:tcPr>
            <w:tcW w:w="720" w:type="dxa"/>
            <w:vAlign w:val="bottom"/>
            <w:tcBorders>
              <w:bottom w:val="single" w:sz="8" w:color="0000EE"/>
            </w:tcBorders>
            <w:gridSpan w:val="2"/>
          </w:tcPr>
          <w:p>
            <w:pPr>
              <w:spacing w:after="0" w:line="151" w:lineRule="exact"/>
              <w:rPr>
                <w:sz w:val="20"/>
                <w:szCs w:val="20"/>
                <w:color w:val="auto"/>
              </w:rPr>
            </w:pPr>
            <w:r>
              <w:rPr>
                <w:rFonts w:ascii="Times New Roman" w:cs="Times New Roman" w:eastAsia="Times New Roman" w:hAnsi="Times New Roman"/>
                <w:sz w:val="14"/>
                <w:szCs w:val="14"/>
                <w:color w:val="0000EE"/>
                <w:w w:val="99"/>
              </w:rPr>
              <w:t>Risk Factors</w:t>
            </w:r>
          </w:p>
        </w:tc>
        <w:tc>
          <w:tcPr>
            <w:tcW w:w="5460" w:type="dxa"/>
            <w:vAlign w:val="bottom"/>
            <w:gridSpan w:val="13"/>
          </w:tcPr>
          <w:p>
            <w:pPr>
              <w:spacing w:after="0"/>
              <w:rPr>
                <w:sz w:val="13"/>
                <w:szCs w:val="13"/>
                <w:color w:val="auto"/>
              </w:rPr>
            </w:pP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1"/>
        </w:trPr>
        <w:tc>
          <w:tcPr>
            <w:tcW w:w="6180" w:type="dxa"/>
            <w:vAlign w:val="bottom"/>
            <w:gridSpan w:val="15"/>
          </w:tcPr>
          <w:p>
            <w:pPr>
              <w:spacing w:after="0" w:line="151" w:lineRule="exact"/>
              <w:rPr>
                <w:sz w:val="20"/>
                <w:szCs w:val="20"/>
                <w:color w:val="auto"/>
              </w:rPr>
            </w:pPr>
            <w:r>
              <w:rPr>
                <w:rFonts w:ascii="Times New Roman" w:cs="Times New Roman" w:eastAsia="Times New Roman" w:hAnsi="Times New Roman"/>
                <w:sz w:val="14"/>
                <w:szCs w:val="14"/>
                <w:color w:val="0000EE"/>
              </w:rPr>
              <w:t>Use of Proceeds</w:t>
            </w: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80" w:type="dxa"/>
            <w:vAlign w:val="bottom"/>
            <w:gridSpan w:val="15"/>
          </w:tcPr>
          <w:p>
            <w:pPr>
              <w:spacing w:after="0" w:line="151"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80" w:type="dxa"/>
            <w:vAlign w:val="bottom"/>
            <w:gridSpan w:val="15"/>
          </w:tcPr>
          <w:p>
            <w:pPr>
              <w:spacing w:after="0" w:line="151"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780" w:type="dxa"/>
            <w:vAlign w:val="bottom"/>
            <w:tcBorders>
              <w:bottom w:val="single" w:sz="8" w:color="0000EE"/>
            </w:tcBorders>
            <w:gridSpan w:val="12"/>
          </w:tcPr>
          <w:p>
            <w:pPr>
              <w:spacing w:after="0" w:line="151" w:lineRule="exact"/>
              <w:rPr>
                <w:sz w:val="20"/>
                <w:szCs w:val="20"/>
                <w:color w:val="auto"/>
              </w:rPr>
            </w:pPr>
            <w:r>
              <w:rPr>
                <w:rFonts w:ascii="Times New Roman" w:cs="Times New Roman" w:eastAsia="Times New Roman" w:hAnsi="Times New Roman"/>
                <w:sz w:val="14"/>
                <w:szCs w:val="14"/>
                <w:color w:val="0000EE"/>
              </w:rPr>
              <w:t>Description of Other Securities</w:t>
            </w:r>
          </w:p>
        </w:tc>
        <w:tc>
          <w:tcPr>
            <w:tcW w:w="4400" w:type="dxa"/>
            <w:vAlign w:val="bottom"/>
            <w:gridSpan w:val="3"/>
          </w:tcPr>
          <w:p>
            <w:pPr>
              <w:spacing w:after="0"/>
              <w:rPr>
                <w:sz w:val="13"/>
                <w:szCs w:val="13"/>
                <w:color w:val="auto"/>
              </w:rPr>
            </w:pP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51"/>
        </w:trPr>
        <w:tc>
          <w:tcPr>
            <w:tcW w:w="6180" w:type="dxa"/>
            <w:vAlign w:val="bottom"/>
            <w:gridSpan w:val="15"/>
          </w:tcPr>
          <w:p>
            <w:pPr>
              <w:spacing w:after="0" w:line="151" w:lineRule="exact"/>
              <w:rPr>
                <w:sz w:val="20"/>
                <w:szCs w:val="20"/>
                <w:color w:val="auto"/>
              </w:rPr>
            </w:pPr>
            <w:r>
              <w:rPr>
                <w:rFonts w:ascii="Times New Roman" w:cs="Times New Roman" w:eastAsia="Times New Roman" w:hAnsi="Times New Roman"/>
                <w:sz w:val="14"/>
                <w:szCs w:val="14"/>
                <w:color w:val="0000EE"/>
              </w:rPr>
              <w:t>Global Securities</w:t>
            </w: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340" w:type="dxa"/>
            <w:vAlign w:val="bottom"/>
            <w:tcBorders>
              <w:bottom w:val="single" w:sz="8" w:color="0000EE"/>
            </w:tcBorders>
            <w:gridSpan w:val="9"/>
          </w:tcPr>
          <w:p>
            <w:pPr>
              <w:spacing w:after="0" w:line="151" w:lineRule="exact"/>
              <w:rPr>
                <w:sz w:val="20"/>
                <w:szCs w:val="20"/>
                <w:color w:val="auto"/>
              </w:rPr>
            </w:pPr>
            <w:r>
              <w:rPr>
                <w:rFonts w:ascii="Times New Roman" w:cs="Times New Roman" w:eastAsia="Times New Roman" w:hAnsi="Times New Roman"/>
                <w:sz w:val="14"/>
                <w:szCs w:val="14"/>
                <w:color w:val="0000EE"/>
              </w:rPr>
              <w:t>Selling Securityholders</w:t>
            </w:r>
          </w:p>
        </w:tc>
        <w:tc>
          <w:tcPr>
            <w:tcW w:w="4840" w:type="dxa"/>
            <w:vAlign w:val="bottom"/>
            <w:gridSpan w:val="6"/>
          </w:tcPr>
          <w:p>
            <w:pPr>
              <w:spacing w:after="0"/>
              <w:rPr>
                <w:sz w:val="13"/>
                <w:szCs w:val="13"/>
                <w:color w:val="auto"/>
              </w:rPr>
            </w:pP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51"/>
        </w:trPr>
        <w:tc>
          <w:tcPr>
            <w:tcW w:w="6180" w:type="dxa"/>
            <w:vAlign w:val="bottom"/>
            <w:gridSpan w:val="15"/>
          </w:tcPr>
          <w:p>
            <w:pPr>
              <w:spacing w:after="0" w:line="151" w:lineRule="exact"/>
              <w:rPr>
                <w:sz w:val="20"/>
                <w:szCs w:val="20"/>
                <w:color w:val="auto"/>
              </w:rPr>
            </w:pPr>
            <w:r>
              <w:rPr>
                <w:rFonts w:ascii="Times New Roman" w:cs="Times New Roman" w:eastAsia="Times New Roman" w:hAnsi="Times New Roman"/>
                <w:sz w:val="14"/>
                <w:szCs w:val="14"/>
                <w:color w:val="0000EE"/>
              </w:rPr>
              <w:t>Plan of Distribution</w:t>
            </w: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51"/>
        </w:trPr>
        <w:tc>
          <w:tcPr>
            <w:tcW w:w="800" w:type="dxa"/>
            <w:vAlign w:val="bottom"/>
            <w:tcBorders>
              <w:top w:val="single" w:sz="8" w:color="0000EE"/>
              <w:bottom w:val="single" w:sz="8" w:color="0000EE"/>
            </w:tcBorders>
            <w:gridSpan w:val="3"/>
          </w:tcPr>
          <w:p>
            <w:pPr>
              <w:spacing w:after="0" w:line="151" w:lineRule="exact"/>
              <w:rPr>
                <w:sz w:val="20"/>
                <w:szCs w:val="20"/>
                <w:color w:val="auto"/>
              </w:rPr>
            </w:pPr>
            <w:r>
              <w:rPr>
                <w:rFonts w:ascii="Times New Roman" w:cs="Times New Roman" w:eastAsia="Times New Roman" w:hAnsi="Times New Roman"/>
                <w:sz w:val="14"/>
                <w:szCs w:val="14"/>
                <w:color w:val="0000EE"/>
                <w:w w:val="99"/>
              </w:rPr>
              <w:t>Legal Matters</w:t>
            </w:r>
          </w:p>
        </w:tc>
        <w:tc>
          <w:tcPr>
            <w:tcW w:w="320" w:type="dxa"/>
            <w:vAlign w:val="bottom"/>
            <w:tcBorders>
              <w:top w:val="single" w:sz="8" w:color="0000EE"/>
            </w:tcBorders>
            <w:gridSpan w:val="4"/>
          </w:tcPr>
          <w:p>
            <w:pPr>
              <w:spacing w:after="0"/>
              <w:rPr>
                <w:sz w:val="13"/>
                <w:szCs w:val="13"/>
                <w:color w:val="auto"/>
              </w:rPr>
            </w:pPr>
          </w:p>
        </w:tc>
        <w:tc>
          <w:tcPr>
            <w:tcW w:w="5060" w:type="dxa"/>
            <w:vAlign w:val="bottom"/>
            <w:gridSpan w:val="8"/>
          </w:tcPr>
          <w:p>
            <w:pPr>
              <w:spacing w:after="0"/>
              <w:rPr>
                <w:sz w:val="13"/>
                <w:szCs w:val="13"/>
                <w:color w:val="auto"/>
              </w:rPr>
            </w:pP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51"/>
        </w:trPr>
        <w:tc>
          <w:tcPr>
            <w:tcW w:w="440" w:type="dxa"/>
            <w:vAlign w:val="bottom"/>
            <w:tcBorders>
              <w:bottom w:val="single" w:sz="8" w:color="0000EE"/>
            </w:tcBorders>
          </w:tcPr>
          <w:p>
            <w:pPr>
              <w:spacing w:after="0" w:line="151" w:lineRule="exact"/>
              <w:rPr>
                <w:sz w:val="20"/>
                <w:szCs w:val="20"/>
                <w:color w:val="auto"/>
              </w:rPr>
            </w:pPr>
            <w:r>
              <w:rPr>
                <w:rFonts w:ascii="Times New Roman" w:cs="Times New Roman" w:eastAsia="Times New Roman" w:hAnsi="Times New Roman"/>
                <w:sz w:val="14"/>
                <w:szCs w:val="14"/>
                <w:color w:val="0000EE"/>
                <w:w w:val="98"/>
              </w:rPr>
              <w:t>Experts</w:t>
            </w:r>
          </w:p>
        </w:tc>
        <w:tc>
          <w:tcPr>
            <w:tcW w:w="5740" w:type="dxa"/>
            <w:vAlign w:val="bottom"/>
            <w:gridSpan w:val="14"/>
          </w:tcPr>
          <w:p>
            <w:pPr>
              <w:spacing w:after="0"/>
              <w:rPr>
                <w:sz w:val="13"/>
                <w:szCs w:val="13"/>
                <w:color w:val="auto"/>
              </w:rPr>
            </w:pPr>
          </w:p>
        </w:tc>
        <w:tc>
          <w:tcPr>
            <w:tcW w:w="25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bl>
    <w:p>
      <w:pPr>
        <w:sectPr>
          <w:pgSz w:w="11900" w:h="16838" w:orient="portrait"/>
          <w:cols w:equalWidth="0" w:num="1">
            <w:col w:w="10159"/>
          </w:cols>
          <w:pgMar w:left="300" w:top="39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4" w:lineRule="exact"/>
        <w:rPr>
          <w:sz w:val="20"/>
          <w:szCs w:val="20"/>
          <w:color w:val="auto"/>
        </w:rPr>
      </w:pPr>
    </w:p>
    <w:p>
      <w:pPr>
        <w:ind w:left="1280" w:right="159" w:firstLine="349"/>
        <w:spacing w:after="0" w:line="258"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and any selling securityholders to be named in a supplement to this prospectus may sell shares of our common stock from time to time in one or more offerings, as described in this prospectus. Each time that we or the selling securityholders offer and sell securities, we or the selling securityholders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51" w:lineRule="exact"/>
        <w:rPr>
          <w:sz w:val="20"/>
          <w:szCs w:val="20"/>
          <w:color w:val="auto"/>
        </w:rPr>
      </w:pPr>
    </w:p>
    <w:p>
      <w:pPr>
        <w:ind w:left="1280" w:right="159" w:firstLine="349"/>
        <w:spacing w:after="0" w:line="257"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55" w:lineRule="exact"/>
        <w:rPr>
          <w:sz w:val="20"/>
          <w:szCs w:val="20"/>
          <w:color w:val="auto"/>
        </w:rPr>
      </w:pPr>
    </w:p>
    <w:p>
      <w:pPr>
        <w:ind w:left="1280" w:right="559" w:firstLine="349"/>
        <w:spacing w:after="0" w:line="291" w:lineRule="auto"/>
        <w:rPr>
          <w:sz w:val="20"/>
          <w:szCs w:val="20"/>
          <w:color w:val="auto"/>
        </w:rPr>
      </w:pPr>
      <w:r>
        <w:rPr>
          <w:rFonts w:ascii="Times New Roman" w:cs="Times New Roman" w:eastAsia="Times New Roman" w:hAnsi="Times New Roman"/>
          <w:sz w:val="14"/>
          <w:szCs w:val="14"/>
          <w:color w:val="auto"/>
        </w:rPr>
        <w:t>When we refer to “Viasat,” “we,” “our” or “us” in this prospectus, we mean Viasat, Inc. and its consolidated subsidiaries, unless the context otherwise requires. When we refer to “you” or “yours,” we mean the potential holders of the applicable series of securities.</w:t>
      </w:r>
    </w:p>
    <w:p>
      <w:pPr>
        <w:spacing w:after="0" w:line="7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9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4" w:lineRule="exact"/>
        <w:rPr>
          <w:sz w:val="20"/>
          <w:szCs w:val="20"/>
          <w:color w:val="auto"/>
        </w:rPr>
      </w:pPr>
    </w:p>
    <w:p>
      <w:pPr>
        <w:ind w:left="1280" w:right="159" w:firstLine="349"/>
        <w:spacing w:after="0" w:line="256" w:lineRule="auto"/>
        <w:rPr>
          <w:sz w:val="20"/>
          <w:szCs w:val="20"/>
          <w:color w:val="auto"/>
        </w:rPr>
      </w:pPr>
      <w:r>
        <w:rPr>
          <w:rFonts w:ascii="Times New Roman" w:cs="Times New Roman" w:eastAsia="Times New Roman" w:hAnsi="Times New Roman"/>
          <w:sz w:val="14"/>
          <w:szCs w:val="14"/>
          <w:color w:val="auto"/>
        </w:rPr>
        <w:t>This prospectus contains and incorporates by reference forward-looking statements regarding future events and our future results that are subject to the safe harbors created under the Securities Act and the Securities Exchange Act of 1934 (the Exchange Act).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projections of earnings, revenue, costs or other financial items; anticipated trends in our business or key markets; growth opportunities; the ability to successfully compete in our target markets and durability or strengthening of competitive advantages; the construction, completion, testing, launch, commencement of commercial service, expected performance and benefits of satellites and satellite payloads (including satellites planned or under construction) and the timing thereof; the expected capacity, coverage, service speeds and other features of our satellites, and the cost, economics and benefits associated therewith; anticipated subscriber growth; introduction and integration of multi-orbit capabilities; future economic conditions; the development, customer acceptance and anticipated performance of our technologies, products or services; plans, objectives and strategies for future operations; ability to drive capital efficiency and improved resource utilization; the number of additional aircraft or vessels anticipated to be put into service with our connectivity systems; expected revenue from the Ligado settlement;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launch of services on new satellites; increasing levels of competition in our target markets; our ability to successfully implement our business plan on our anticipated timeline or at all; our ability to successfully develop, introduce and sell new technologies, products and services; audits by the U.S. Government; changes in the global business environment and economic conditions (including U.S. Government shutdowns);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compliance by Ligado with the terms of the Ligado settlement; our dependence on a limited number of key employees; and other factors identified under the heading “Risk Factors” of this prospectus, elsewhere in this prospectus and our other filings with the SEC. Therefore, actual results may differ materially and adversely from those expressed in any forward-looking statements. We undertake no obligation to revise or update any forward-looking statements for any reason.</w:t>
      </w:r>
    </w:p>
    <w:p>
      <w:pPr>
        <w:spacing w:after="0" w:line="1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8" w:lineRule="exact"/>
        <w:rPr>
          <w:sz w:val="20"/>
          <w:szCs w:val="20"/>
          <w:color w:val="auto"/>
        </w:rPr>
      </w:pPr>
    </w:p>
    <w:p>
      <w:pPr>
        <w:ind w:left="1280" w:right="219" w:firstLine="349"/>
        <w:spacing w:after="0" w:line="267" w:lineRule="auto"/>
        <w:rPr>
          <w:sz w:val="20"/>
          <w:szCs w:val="20"/>
          <w:color w:val="auto"/>
        </w:rPr>
      </w:pPr>
      <w:r>
        <w:rPr>
          <w:rFonts w:ascii="Times New Roman" w:cs="Times New Roman" w:eastAsia="Times New Roman" w:hAnsi="Times New Roman"/>
          <w:sz w:val="14"/>
          <w:szCs w:val="14"/>
          <w:color w:val="auto"/>
        </w:rPr>
        <w:t xml:space="preserve">We file reports, proxy statements and other information with the SEC. The SEC maintains a website that contains reports, proxy and information statements and other information about issuers, such as us, who file electronically with the SEC. You may also access filed documents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or by accessing the Investor Relations section of our website at </w:t>
      </w:r>
      <w:r>
        <w:rPr>
          <w:rFonts w:ascii="Times New Roman" w:cs="Times New Roman" w:eastAsia="Times New Roman" w:hAnsi="Times New Roman"/>
          <w:sz w:val="14"/>
          <w:szCs w:val="14"/>
          <w:i w:val="1"/>
          <w:iCs w:val="1"/>
          <w:color w:val="auto"/>
        </w:rPr>
        <w:t>www.viasat.com</w:t>
      </w:r>
      <w:r>
        <w:rPr>
          <w:rFonts w:ascii="Times New Roman" w:cs="Times New Roman" w:eastAsia="Times New Roman" w:hAnsi="Times New Roman"/>
          <w:sz w:val="14"/>
          <w:szCs w:val="14"/>
          <w:color w:val="auto"/>
        </w:rPr>
        <w:t>. The information found on or accessed through our website is not, and should not be deemed to be, a part of this prospectus.</w:t>
      </w:r>
    </w:p>
    <w:p>
      <w:pPr>
        <w:spacing w:after="0" w:line="140" w:lineRule="exact"/>
        <w:rPr>
          <w:sz w:val="20"/>
          <w:szCs w:val="20"/>
          <w:color w:val="auto"/>
        </w:rPr>
      </w:pPr>
    </w:p>
    <w:p>
      <w:pPr>
        <w:ind w:left="1280" w:right="179" w:firstLine="349"/>
        <w:spacing w:after="0" w:line="262"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w:t>
      </w: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98" w:lineRule="exact"/>
        <w:rPr>
          <w:sz w:val="20"/>
          <w:szCs w:val="20"/>
          <w:color w:val="auto"/>
        </w:rPr>
      </w:pPr>
    </w:p>
    <w:p>
      <w:pPr>
        <w:ind w:left="1280" w:right="199" w:firstLine="349"/>
        <w:spacing w:after="0" w:line="264"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43" w:lineRule="exact"/>
        <w:rPr>
          <w:sz w:val="20"/>
          <w:szCs w:val="20"/>
          <w:color w:val="auto"/>
        </w:rPr>
      </w:pPr>
    </w:p>
    <w:p>
      <w:pPr>
        <w:ind w:left="1280" w:right="259" w:firstLine="349"/>
        <w:spacing w:after="0" w:line="291"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49" w:lineRule="exact"/>
        <w:rPr>
          <w:sz w:val="20"/>
          <w:szCs w:val="20"/>
          <w:color w:val="auto"/>
        </w:rPr>
      </w:pPr>
    </w:p>
    <w:p>
      <w:pPr>
        <w:ind w:left="2040" w:hanging="337"/>
        <w:spacing w:after="0"/>
        <w:tabs>
          <w:tab w:leader="none" w:pos="2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fiscal year ended March 31, 2026, filed with the SEC on </w:t>
      </w:r>
      <w:hyperlink r:id="rId28">
        <w:r>
          <w:rPr>
            <w:rFonts w:ascii="Times New Roman" w:cs="Times New Roman" w:eastAsia="Times New Roman" w:hAnsi="Times New Roman"/>
            <w:sz w:val="14"/>
            <w:szCs w:val="14"/>
            <w:u w:val="single" w:color="auto"/>
            <w:color w:val="0000EE"/>
          </w:rPr>
          <w:t>May 29, 2026</w:t>
        </w:r>
      </w:hyperlink>
      <w:r>
        <w:rPr>
          <w:rFonts w:ascii="Times New Roman" w:cs="Times New Roman" w:eastAsia="Times New Roman" w:hAnsi="Times New Roman"/>
          <w:sz w:val="14"/>
          <w:szCs w:val="14"/>
          <w:color w:val="auto"/>
        </w:rPr>
        <w:t>;</w:t>
      </w:r>
    </w:p>
    <w:p>
      <w:pPr>
        <w:spacing w:after="0" w:line="106" w:lineRule="exact"/>
        <w:rPr>
          <w:rFonts w:ascii="Times New Roman" w:cs="Times New Roman" w:eastAsia="Times New Roman" w:hAnsi="Times New Roman"/>
          <w:sz w:val="14"/>
          <w:szCs w:val="14"/>
          <w:color w:val="auto"/>
        </w:rPr>
      </w:pPr>
    </w:p>
    <w:p>
      <w:pPr>
        <w:ind w:left="2040" w:right="399" w:hanging="337"/>
        <w:spacing w:after="0" w:line="291" w:lineRule="auto"/>
        <w:tabs>
          <w:tab w:leader="none" w:pos="2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Schedule 14A filed with the SEC on </w:t>
      </w:r>
      <w:hyperlink r:id="rId29">
        <w:r>
          <w:rPr>
            <w:rFonts w:ascii="Times New Roman" w:cs="Times New Roman" w:eastAsia="Times New Roman" w:hAnsi="Times New Roman"/>
            <w:sz w:val="14"/>
            <w:szCs w:val="14"/>
            <w:u w:val="single" w:color="auto"/>
            <w:color w:val="0000EE"/>
          </w:rPr>
          <w:t>July 25,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(solely to the extent specifically incorporated by reference into our Annual Report on Form 10-K for the fiscal year ended March 31, 2024);</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Form 8-K filed with the SEC on </w:t>
      </w:r>
      <w:hyperlink r:id="rId30">
        <w:r>
          <w:rPr>
            <w:rFonts w:ascii="Times New Roman" w:cs="Times New Roman" w:eastAsia="Times New Roman" w:hAnsi="Times New Roman"/>
            <w:sz w:val="14"/>
            <w:szCs w:val="14"/>
            <w:u w:val="single" w:color="auto"/>
            <w:color w:val="0000EE"/>
          </w:rPr>
          <w:t>May 7, 2026</w:t>
        </w:r>
      </w:hyperlink>
      <w:r>
        <w:rPr>
          <w:rFonts w:ascii="Times New Roman" w:cs="Times New Roman" w:eastAsia="Times New Roman" w:hAnsi="Times New Roman"/>
          <w:sz w:val="14"/>
          <w:szCs w:val="14"/>
          <w:color w:val="auto"/>
        </w:rPr>
        <w:t>; and</w:t>
      </w:r>
    </w:p>
    <w:p>
      <w:pPr>
        <w:spacing w:after="0" w:line="106" w:lineRule="exact"/>
        <w:rPr>
          <w:rFonts w:ascii="Times New Roman" w:cs="Times New Roman" w:eastAsia="Times New Roman" w:hAnsi="Times New Roman"/>
          <w:sz w:val="14"/>
          <w:szCs w:val="14"/>
          <w:color w:val="auto"/>
        </w:rPr>
      </w:pPr>
    </w:p>
    <w:p>
      <w:pPr>
        <w:ind w:left="2040" w:right="219" w:hanging="337"/>
        <w:spacing w:after="0" w:line="291" w:lineRule="auto"/>
        <w:tabs>
          <w:tab w:leader="none" w:pos="2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Form 8-A filed with the SEC on </w:t>
      </w:r>
      <w:hyperlink r:id="rId31">
        <w:r>
          <w:rPr>
            <w:rFonts w:ascii="Times New Roman" w:cs="Times New Roman" w:eastAsia="Times New Roman" w:hAnsi="Times New Roman"/>
            <w:sz w:val="14"/>
            <w:szCs w:val="14"/>
            <w:u w:val="single" w:color="auto"/>
            <w:color w:val="0000EE"/>
          </w:rPr>
          <w:t>November 20, 1996</w:t>
        </w:r>
      </w:hyperlink>
      <w:r>
        <w:rPr>
          <w:rFonts w:ascii="Times New Roman" w:cs="Times New Roman" w:eastAsia="Times New Roman" w:hAnsi="Times New Roman"/>
          <w:sz w:val="14"/>
          <w:szCs w:val="14"/>
          <w:color w:val="auto"/>
        </w:rPr>
        <w:t>, and any amendment or report filed with the SEC for the purpose of updating the description.</w:t>
      </w:r>
    </w:p>
    <w:p>
      <w:pPr>
        <w:spacing w:after="0" w:line="124" w:lineRule="exact"/>
        <w:rPr>
          <w:rFonts w:ascii="Times New Roman" w:cs="Times New Roman" w:eastAsia="Times New Roman" w:hAnsi="Times New Roman"/>
          <w:sz w:val="14"/>
          <w:szCs w:val="14"/>
          <w:color w:val="auto"/>
        </w:rPr>
      </w:pPr>
    </w:p>
    <w:p>
      <w:pPr>
        <w:ind w:left="1280" w:right="199" w:firstLine="349"/>
        <w:spacing w:after="0" w:line="262"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We are not, however, incorporating by reference any documents or portions thereof, whether specifically listed above or filed in the future, that are not deemed “filed” with the SEC, including our Compensation Committee report and performance graph or any information furnished pursuant to Item 2.02 or 7.01 of Form 8-K or related exhibits furnished pursuant to Item 9.01 of Form 8-K.</w:t>
      </w:r>
    </w:p>
    <w:p>
      <w:pPr>
        <w:spacing w:after="0" w:line="91"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9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359" w:firstLine="349"/>
        <w:spacing w:after="0" w:line="291"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1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Viasat,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6155 El Camino Real</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Carlsbad, California 92009</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(760) 476-2200</w:t>
      </w:r>
    </w:p>
    <w:p>
      <w:pPr>
        <w:spacing w:after="0" w:line="168" w:lineRule="exact"/>
        <w:rPr>
          <w:sz w:val="20"/>
          <w:szCs w:val="20"/>
          <w:color w:val="auto"/>
        </w:rPr>
      </w:pPr>
    </w:p>
    <w:p>
      <w:pPr>
        <w:ind w:left="1280" w:right="339" w:firstLine="349"/>
        <w:spacing w:after="0" w:line="291"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7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84" w:lineRule="exact"/>
        <w:rPr>
          <w:sz w:val="20"/>
          <w:szCs w:val="20"/>
          <w:color w:val="auto"/>
        </w:rPr>
      </w:pPr>
    </w:p>
    <w:p>
      <w:pPr>
        <w:ind w:left="1280" w:right="179" w:firstLine="349"/>
        <w:spacing w:after="0" w:line="258" w:lineRule="auto"/>
        <w:rPr>
          <w:sz w:val="20"/>
          <w:szCs w:val="20"/>
          <w:color w:val="auto"/>
        </w:rPr>
      </w:pPr>
      <w:r>
        <w:rPr>
          <w:rFonts w:ascii="Times New Roman" w:cs="Times New Roman" w:eastAsia="Times New Roman" w:hAnsi="Times New Roman"/>
          <w:sz w:val="14"/>
          <w:szCs w:val="14"/>
          <w:color w:val="auto"/>
        </w:rPr>
        <w:t>We are an innovative, global provider of communications technologies and services, focused on making connectivity accessible, available and secure for current and future customers worldwide.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w:t>
      </w:r>
    </w:p>
    <w:p>
      <w:pPr>
        <w:spacing w:after="0" w:line="15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We conduct our business through two reportable segments: communication services and defense and advanced technologies.</w:t>
      </w:r>
    </w:p>
    <w:p>
      <w:pPr>
        <w:spacing w:after="0" w:line="180" w:lineRule="exact"/>
        <w:rPr>
          <w:sz w:val="20"/>
          <w:szCs w:val="20"/>
          <w:color w:val="auto"/>
        </w:rPr>
      </w:pPr>
    </w:p>
    <w:p>
      <w:pPr>
        <w:ind w:left="1280" w:right="199" w:firstLine="349"/>
        <w:spacing w:after="0" w:line="263" w:lineRule="auto"/>
        <w:rPr>
          <w:sz w:val="20"/>
          <w:szCs w:val="20"/>
          <w:color w:val="auto"/>
        </w:rPr>
      </w:pPr>
      <w:r>
        <w:rPr>
          <w:rFonts w:ascii="Times New Roman" w:cs="Times New Roman" w:eastAsia="Times New Roman" w:hAnsi="Times New Roman"/>
          <w:sz w:val="14"/>
          <w:szCs w:val="14"/>
          <w:i w:val="1"/>
          <w:iCs w:val="1"/>
          <w:color w:val="auto"/>
        </w:rPr>
        <w:t>Communication Services</w:t>
      </w:r>
      <w:r>
        <w:rPr>
          <w:rFonts w:ascii="Times New Roman" w:cs="Times New Roman" w:eastAsia="Times New Roman" w:hAnsi="Times New Roman"/>
          <w:sz w:val="14"/>
          <w:szCs w:val="14"/>
          <w:color w:val="auto"/>
        </w:rPr>
        <w:t>. Our communication services segment provides a wide range of broadband and narrowband communications solutions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across government and commercial mobility markets, as well as for residential and enterprise fixed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geostationary earth orbit (GEO), medium earth orbit (MEO) and low earth orbit (LEO). The primary business lines in our communication services segment include aviation, government satcom, maritime and fixed services and other.</w:t>
      </w:r>
    </w:p>
    <w:p>
      <w:pPr>
        <w:spacing w:after="0" w:line="141" w:lineRule="exact"/>
        <w:rPr>
          <w:sz w:val="20"/>
          <w:szCs w:val="20"/>
          <w:color w:val="auto"/>
        </w:rPr>
      </w:pPr>
    </w:p>
    <w:p>
      <w:pPr>
        <w:ind w:left="1280" w:right="299" w:firstLine="349"/>
        <w:spacing w:after="0" w:line="268" w:lineRule="auto"/>
        <w:rPr>
          <w:sz w:val="20"/>
          <w:szCs w:val="20"/>
          <w:color w:val="auto"/>
        </w:rPr>
      </w:pPr>
      <w:r>
        <w:rPr>
          <w:rFonts w:ascii="Times New Roman" w:cs="Times New Roman" w:eastAsia="Times New Roman" w:hAnsi="Times New Roman"/>
          <w:sz w:val="14"/>
          <w:szCs w:val="14"/>
          <w:i w:val="1"/>
          <w:iCs w:val="1"/>
          <w:color w:val="auto"/>
        </w:rPr>
        <w:t>Defense and Advanced Technologies</w:t>
      </w:r>
      <w:r>
        <w:rPr>
          <w:rFonts w:ascii="Times New Roman" w:cs="Times New Roman" w:eastAsia="Times New Roman" w:hAnsi="Times New Roman"/>
          <w:sz w:val="14"/>
          <w:szCs w:val="14"/>
          <w:color w:val="auto"/>
        </w:rPr>
        <w:t>. Our defense and advanced technologies segment develops and offers a diverse array of resilient, vertically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integrated solutions to government and commercial customers, leveraging our core technical competencies in encryption, cyber security, tactical gateways, modems and waveforms. The primary business lines in our defense and advanced technologies segment include information security and cyber defense, space and mission systems, tactical networking and advanced technologies and other.</w:t>
      </w:r>
    </w:p>
    <w:p>
      <w:pPr>
        <w:spacing w:after="0" w:line="140" w:lineRule="exact"/>
        <w:rPr>
          <w:sz w:val="20"/>
          <w:szCs w:val="20"/>
          <w:color w:val="auto"/>
        </w:rPr>
      </w:pPr>
    </w:p>
    <w:p>
      <w:pPr>
        <w:ind w:left="1280" w:right="619" w:firstLine="349"/>
        <w:spacing w:after="0" w:line="291" w:lineRule="auto"/>
        <w:rPr>
          <w:sz w:val="20"/>
          <w:szCs w:val="20"/>
          <w:color w:val="auto"/>
        </w:rPr>
      </w:pPr>
      <w:r>
        <w:rPr>
          <w:rFonts w:ascii="Times New Roman" w:cs="Times New Roman" w:eastAsia="Times New Roman" w:hAnsi="Times New Roman"/>
          <w:sz w:val="14"/>
          <w:szCs w:val="14"/>
          <w:color w:val="auto"/>
        </w:rPr>
        <w:t>We were incorporated in California in 1986 and reincorporated in Delaware in 1996. Our principal executive offices are located at 6155 El Camino Real, Carlsbad, California 92009, and our telephone number is (760) 476-2200.</w:t>
      </w:r>
    </w:p>
    <w:p>
      <w:pPr>
        <w:spacing w:after="0" w:line="7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2" w:lineRule="exact"/>
        <w:rPr>
          <w:sz w:val="20"/>
          <w:szCs w:val="20"/>
          <w:color w:val="auto"/>
        </w:rPr>
      </w:pPr>
    </w:p>
    <w:p>
      <w:pPr>
        <w:ind w:left="1280" w:right="159" w:firstLine="349"/>
        <w:spacing w:after="0" w:line="259" w:lineRule="auto"/>
        <w:rPr>
          <w:sz w:val="20"/>
          <w:szCs w:val="20"/>
          <w:color w:val="auto"/>
        </w:rPr>
      </w:pPr>
      <w:r>
        <w:rPr>
          <w:rFonts w:ascii="Times New Roman" w:cs="Times New Roman" w:eastAsia="Times New Roman" w:hAnsi="Times New Roman"/>
          <w:sz w:val="14"/>
          <w:szCs w:val="14"/>
          <w:i w:val="1"/>
          <w:iCs w:val="1"/>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9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4" w:lineRule="exact"/>
        <w:rPr>
          <w:sz w:val="20"/>
          <w:szCs w:val="20"/>
          <w:color w:val="auto"/>
        </w:rPr>
      </w:pPr>
    </w:p>
    <w:p>
      <w:pPr>
        <w:ind w:left="1280" w:right="339" w:firstLine="349"/>
        <w:spacing w:after="0" w:line="291"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 We will not receive any of the proceeds from the sale of common stock being offered by any of the selling securityholders.</w:t>
      </w:r>
    </w:p>
    <w:p>
      <w:pPr>
        <w:spacing w:after="0" w:line="7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8" w:lineRule="exact"/>
        <w:rPr>
          <w:sz w:val="20"/>
          <w:szCs w:val="20"/>
          <w:color w:val="auto"/>
        </w:rPr>
      </w:pPr>
    </w:p>
    <w:p>
      <w:pPr>
        <w:ind w:left="1280" w:right="159" w:firstLine="349"/>
        <w:spacing w:after="0" w:line="270" w:lineRule="auto"/>
        <w:rPr>
          <w:sz w:val="20"/>
          <w:szCs w:val="20"/>
          <w:color w:val="auto"/>
        </w:rPr>
      </w:pPr>
      <w:r>
        <w:rPr>
          <w:rFonts w:ascii="Times New Roman" w:cs="Times New Roman" w:eastAsia="Times New Roman" w:hAnsi="Times New Roman"/>
          <w:sz w:val="14"/>
          <w:szCs w:val="14"/>
          <w:color w:val="auto"/>
        </w:rPr>
        <w:t>This prospectus describes the general terms of our capital stock. The following description is not complete and may not contain all the information you should consider before investing in our capital stock. This description is summarized from, and qualified in its entirety by reference to, our certificate of incorporation and bylaws, which have been publicly filed with the SEC. See “Where You Can Find More Information; Incorporation by Reference.”</w:t>
      </w:r>
    </w:p>
    <w:p>
      <w:pPr>
        <w:spacing w:after="0" w:line="313" w:lineRule="exact"/>
        <w:rPr>
          <w:sz w:val="20"/>
          <w:szCs w:val="20"/>
          <w:color w:val="auto"/>
        </w:rPr>
      </w:pPr>
    </w:p>
    <w:p>
      <w:pPr>
        <w:ind w:left="1280" w:right="399" w:firstLine="349"/>
        <w:spacing w:after="0" w:line="267" w:lineRule="auto"/>
        <w:rPr>
          <w:sz w:val="20"/>
          <w:szCs w:val="20"/>
          <w:color w:val="auto"/>
        </w:rPr>
      </w:pPr>
      <w:r>
        <w:rPr>
          <w:rFonts w:ascii="Times New Roman" w:cs="Times New Roman" w:eastAsia="Times New Roman" w:hAnsi="Times New Roman"/>
          <w:sz w:val="14"/>
          <w:szCs w:val="14"/>
          <w:color w:val="auto"/>
        </w:rPr>
        <w:t>When we offer to sell a particular series of these securities, we will describe the specific terms of the series in a supplement to this prospectus. Accordingly, for a description of the terms of any series of securities, you must refer to both the prospectus supplement relating to that series and the description of the securities described in this prospectus. To the extent the information contained in the prospectus supplement differs from this summary description, you should rely on the information in the prospectus supplement.</w:t>
      </w:r>
    </w:p>
    <w:p>
      <w:pPr>
        <w:spacing w:after="0" w:line="140" w:lineRule="exact"/>
        <w:rPr>
          <w:sz w:val="20"/>
          <w:szCs w:val="20"/>
          <w:color w:val="auto"/>
        </w:rPr>
      </w:pPr>
    </w:p>
    <w:p>
      <w:pPr>
        <w:jc w:val="both"/>
        <w:ind w:left="1280" w:right="279" w:firstLine="349"/>
        <w:spacing w:after="0" w:line="273" w:lineRule="auto"/>
        <w:rPr>
          <w:sz w:val="20"/>
          <w:szCs w:val="20"/>
          <w:color w:val="auto"/>
        </w:rPr>
      </w:pPr>
      <w:r>
        <w:rPr>
          <w:rFonts w:ascii="Times New Roman" w:cs="Times New Roman" w:eastAsia="Times New Roman" w:hAnsi="Times New Roman"/>
          <w:sz w:val="14"/>
          <w:szCs w:val="14"/>
          <w:color w:val="auto"/>
        </w:rPr>
        <w:t>Under our certificate of incorporation, the total number of shares of all classes of stock that we have authority to issue is 205,000,000, consisting of 5,000,000 shares of preferred stock, par value $0.0001 per share, and 200,000,000 shares of common stock, par value $0.0001 per share. As of May 8, 2026, we had 136,568,953 shares of common stock outstanding. We currently have no outstanding shares of preferred stock.</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98" w:lineRule="exact"/>
        <w:rPr>
          <w:sz w:val="20"/>
          <w:szCs w:val="20"/>
          <w:color w:val="auto"/>
        </w:rPr>
      </w:pPr>
    </w:p>
    <w:p>
      <w:pPr>
        <w:ind w:left="1280" w:right="179" w:firstLine="349"/>
        <w:spacing w:after="0" w:line="273" w:lineRule="auto"/>
        <w:rPr>
          <w:sz w:val="20"/>
          <w:szCs w:val="20"/>
          <w:color w:val="auto"/>
        </w:rPr>
      </w:pPr>
      <w:r>
        <w:rPr>
          <w:rFonts w:ascii="Times New Roman" w:cs="Times New Roman" w:eastAsia="Times New Roman" w:hAnsi="Times New Roman"/>
          <w:sz w:val="14"/>
          <w:szCs w:val="14"/>
          <w:color w:val="auto"/>
        </w:rPr>
        <w:t>The holders of our common stock are entitled to one vote for each share on all matters voted on by stockholders. The holders of our common stock do not have cumulative voting rights, which means that holders of more than one-half of the shares voting for the election of directors can elect all of the directors then being elected.</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98" w:lineRule="exact"/>
        <w:rPr>
          <w:sz w:val="20"/>
          <w:szCs w:val="20"/>
          <w:color w:val="auto"/>
        </w:rPr>
      </w:pPr>
    </w:p>
    <w:p>
      <w:pPr>
        <w:ind w:left="1280" w:right="219" w:firstLine="349"/>
        <w:spacing w:after="0" w:line="291" w:lineRule="auto"/>
        <w:rPr>
          <w:sz w:val="20"/>
          <w:szCs w:val="20"/>
          <w:color w:val="auto"/>
        </w:rPr>
      </w:pPr>
      <w:r>
        <w:rPr>
          <w:rFonts w:ascii="Times New Roman" w:cs="Times New Roman" w:eastAsia="Times New Roman" w:hAnsi="Times New Roman"/>
          <w:sz w:val="14"/>
          <w:szCs w:val="14"/>
          <w:color w:val="auto"/>
        </w:rPr>
        <w:t>Subject to the preferences of any of our outstanding preferred stock, the holders of our common stock are entitled to a proportional distribution of any dividends that may be declared by the board of directors.</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Liquidation</w:t>
      </w:r>
    </w:p>
    <w:p>
      <w:pPr>
        <w:spacing w:after="0" w:line="98" w:lineRule="exact"/>
        <w:rPr>
          <w:sz w:val="20"/>
          <w:szCs w:val="20"/>
          <w:color w:val="auto"/>
        </w:rPr>
      </w:pPr>
    </w:p>
    <w:p>
      <w:pPr>
        <w:ind w:left="1280" w:right="419" w:firstLine="349"/>
        <w:spacing w:after="0" w:line="291" w:lineRule="auto"/>
        <w:rPr>
          <w:sz w:val="20"/>
          <w:szCs w:val="20"/>
          <w:color w:val="auto"/>
        </w:rPr>
      </w:pPr>
      <w:r>
        <w:rPr>
          <w:rFonts w:ascii="Times New Roman" w:cs="Times New Roman" w:eastAsia="Times New Roman" w:hAnsi="Times New Roman"/>
          <w:sz w:val="14"/>
          <w:szCs w:val="14"/>
          <w:color w:val="auto"/>
        </w:rPr>
        <w:t>In the event of a liquidation or dissolution of Viasat, the holders of our common stock are entitled to share equally in all assets remaining after payment of liabilities and any payments due to holders of any outstanding shares of our preferred stock.</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Fully Paid and Nonassessable</w:t>
      </w:r>
    </w:p>
    <w:p>
      <w:pPr>
        <w:spacing w:after="0" w:line="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outstanding shares of our common stock are fully paid and nonassessable.</w:t>
      </w:r>
    </w:p>
    <w:p>
      <w:pPr>
        <w:spacing w:after="0" w:line="2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Holder Rights and Preferences</w:t>
      </w:r>
    </w:p>
    <w:p>
      <w:pPr>
        <w:spacing w:after="0" w:line="98" w:lineRule="exact"/>
        <w:rPr>
          <w:sz w:val="20"/>
          <w:szCs w:val="20"/>
          <w:color w:val="auto"/>
        </w:rPr>
      </w:pPr>
    </w:p>
    <w:p>
      <w:pPr>
        <w:jc w:val="both"/>
        <w:ind w:left="1280" w:right="379" w:firstLine="349"/>
        <w:spacing w:after="0" w:line="273" w:lineRule="auto"/>
        <w:rPr>
          <w:sz w:val="20"/>
          <w:szCs w:val="20"/>
          <w:color w:val="auto"/>
        </w:rPr>
      </w:pPr>
      <w:r>
        <w:rPr>
          <w:rFonts w:ascii="Times New Roman" w:cs="Times New Roman" w:eastAsia="Times New Roman" w:hAnsi="Times New Roman"/>
          <w:sz w:val="14"/>
          <w:szCs w:val="14"/>
          <w:color w:val="auto"/>
        </w:rPr>
        <w:t>Holders of our common stock have no redemption or conversion rights, no sinking fund provisions and no preemptive right to subscribe for or purchase additional shares of any class of our capital stock. The rights, preferences and privileges of holders of our common stock are subject to, and may be adversely affected by, the rights of the holders of shares of any of our outstanding preferred stock.</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9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Delaware Anti-Takeover Provisions</w:t>
      </w:r>
    </w:p>
    <w:p>
      <w:pPr>
        <w:spacing w:after="0" w:line="98" w:lineRule="exact"/>
        <w:rPr>
          <w:sz w:val="20"/>
          <w:szCs w:val="20"/>
          <w:color w:val="auto"/>
        </w:rPr>
      </w:pPr>
    </w:p>
    <w:p>
      <w:pPr>
        <w:ind w:left="1280" w:right="219" w:firstLine="349"/>
        <w:spacing w:after="0" w:line="273" w:lineRule="auto"/>
        <w:rPr>
          <w:sz w:val="20"/>
          <w:szCs w:val="20"/>
          <w:color w:val="auto"/>
        </w:rPr>
      </w:pPr>
      <w:r>
        <w:rPr>
          <w:rFonts w:ascii="Times New Roman" w:cs="Times New Roman" w:eastAsia="Times New Roman" w:hAnsi="Times New Roman"/>
          <w:sz w:val="14"/>
          <w:szCs w:val="14"/>
          <w:color w:val="auto"/>
        </w:rPr>
        <w:t>We are subject to the provisions of Section 203 of the General Corporation Law of the State of Delaware (the DGCL). Under Section 203, we would generally be prohibited from engaging in any business combination with any interested stockholder for a period of three years following the time that the stockholder became an interested stockholder unless:</w:t>
      </w:r>
    </w:p>
    <w:p>
      <w:pPr>
        <w:spacing w:after="0" w:line="61" w:lineRule="exact"/>
        <w:rPr>
          <w:sz w:val="20"/>
          <w:szCs w:val="20"/>
          <w:color w:val="auto"/>
        </w:rPr>
      </w:pPr>
    </w:p>
    <w:p>
      <w:pPr>
        <w:ind w:left="2040" w:right="279" w:hanging="337"/>
        <w:spacing w:after="0" w:line="291" w:lineRule="auto"/>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time, the board of directors of the corporation approved either the business combination or the transaction that resulted in the stockholder becoming an interested stockholder;</w:t>
      </w:r>
    </w:p>
    <w:p>
      <w:pPr>
        <w:spacing w:after="0" w:line="48" w:lineRule="exact"/>
        <w:rPr>
          <w:rFonts w:ascii="Times New Roman" w:cs="Times New Roman" w:eastAsia="Times New Roman" w:hAnsi="Times New Roman"/>
          <w:sz w:val="14"/>
          <w:szCs w:val="14"/>
          <w:color w:val="auto"/>
        </w:rPr>
      </w:pPr>
    </w:p>
    <w:p>
      <w:pPr>
        <w:ind w:left="2040" w:right="359" w:hanging="337"/>
        <w:spacing w:after="0" w:line="262" w:lineRule="auto"/>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w:t>
      </w:r>
    </w:p>
    <w:p>
      <w:pPr>
        <w:ind w:left="2040" w:right="219"/>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by persons who are directors and also officers and (b) by employee stock plans in which employee participants do not have the right to determine confidentially whether shares held subject to the plan will be tendered in a tender or exchange offer; or</w:t>
      </w:r>
    </w:p>
    <w:p>
      <w:pPr>
        <w:spacing w:after="0" w:line="63" w:lineRule="exact"/>
        <w:rPr>
          <w:rFonts w:ascii="Times New Roman" w:cs="Times New Roman" w:eastAsia="Times New Roman" w:hAnsi="Times New Roman"/>
          <w:sz w:val="14"/>
          <w:szCs w:val="14"/>
          <w:color w:val="auto"/>
        </w:rPr>
      </w:pPr>
    </w:p>
    <w:p>
      <w:pPr>
        <w:ind w:left="2040" w:right="279" w:hanging="337"/>
        <w:spacing w:after="0" w:line="273" w:lineRule="auto"/>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Under Section 203, a “business combination” includes:</w:t>
      </w:r>
    </w:p>
    <w:p>
      <w:pPr>
        <w:spacing w:after="0" w:line="107" w:lineRule="exact"/>
        <w:rPr>
          <w:sz w:val="20"/>
          <w:szCs w:val="20"/>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pledge or other disposition of 10% or more of the assets of the corporation involving the interested stockholder;</w:t>
      </w:r>
    </w:p>
    <w:p>
      <w:pPr>
        <w:spacing w:after="0" w:line="106" w:lineRule="exact"/>
        <w:rPr>
          <w:rFonts w:ascii="Times New Roman" w:cs="Times New Roman" w:eastAsia="Times New Roman" w:hAnsi="Times New Roman"/>
          <w:sz w:val="14"/>
          <w:szCs w:val="14"/>
          <w:color w:val="auto"/>
        </w:rPr>
      </w:pPr>
    </w:p>
    <w:p>
      <w:pPr>
        <w:ind w:left="2040" w:right="539" w:hanging="337"/>
        <w:spacing w:after="0" w:line="291" w:lineRule="auto"/>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that results in the issuance or transfer by the corporation of any stock of the corporation to the interested stockholder, subject to limited exceptions;</w:t>
      </w:r>
    </w:p>
    <w:p>
      <w:pPr>
        <w:spacing w:after="0" w:line="48" w:lineRule="exact"/>
        <w:rPr>
          <w:rFonts w:ascii="Times New Roman" w:cs="Times New Roman" w:eastAsia="Times New Roman" w:hAnsi="Times New Roman"/>
          <w:sz w:val="14"/>
          <w:szCs w:val="14"/>
          <w:color w:val="auto"/>
        </w:rPr>
      </w:pPr>
    </w:p>
    <w:p>
      <w:pPr>
        <w:ind w:left="2040" w:right="299" w:hanging="337"/>
        <w:spacing w:after="0" w:line="291" w:lineRule="auto"/>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of any class or series of the corporation beneficially owned by the interested stockholder; or</w:t>
      </w:r>
    </w:p>
    <w:p>
      <w:pPr>
        <w:spacing w:after="0" w:line="48" w:lineRule="exact"/>
        <w:rPr>
          <w:rFonts w:ascii="Times New Roman" w:cs="Times New Roman" w:eastAsia="Times New Roman" w:hAnsi="Times New Roman"/>
          <w:sz w:val="14"/>
          <w:szCs w:val="14"/>
          <w:color w:val="auto"/>
        </w:rPr>
      </w:pPr>
    </w:p>
    <w:p>
      <w:pPr>
        <w:ind w:left="2040" w:right="299" w:hanging="337"/>
        <w:spacing w:after="0" w:line="291" w:lineRule="auto"/>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24" w:lineRule="exact"/>
        <w:rPr>
          <w:sz w:val="20"/>
          <w:szCs w:val="20"/>
          <w:color w:val="auto"/>
        </w:rPr>
      </w:pPr>
    </w:p>
    <w:p>
      <w:pPr>
        <w:ind w:left="1280" w:right="279" w:firstLine="349"/>
        <w:spacing w:after="0" w:line="291"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Certificate of Incorporation and Bylaw Provisions</w:t>
      </w:r>
    </w:p>
    <w:p>
      <w:pPr>
        <w:spacing w:after="0" w:line="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Some provisions of Viasat’s certificate of incorporation and bylaws could also have anti-takeover effects. These provisions:</w:t>
      </w:r>
    </w:p>
    <w:p>
      <w:pPr>
        <w:spacing w:after="0" w:line="107" w:lineRule="exact"/>
        <w:rPr>
          <w:sz w:val="20"/>
          <w:szCs w:val="20"/>
          <w:color w:val="auto"/>
        </w:rPr>
      </w:pPr>
    </w:p>
    <w:p>
      <w:pPr>
        <w:ind w:left="2040" w:hanging="337"/>
        <w:spacing w:after="0"/>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the board of directors to increase its own size and fill the resulting vacancies;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board comprised of three classes of directors with each class serving a staggered three-year term;</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preferred stock in one or more series;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w:t>
      </w:r>
    </w:p>
    <w:p>
      <w:pPr>
        <w:spacing w:after="0" w:line="1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9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2040" w:right="319" w:hanging="337"/>
        <w:spacing w:after="0" w:line="291" w:lineRule="auto"/>
        <w:tabs>
          <w:tab w:leader="none" w:pos="2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stockholders may be called only by the board of directors, its chairman, the president or the secretary of Viasat; and</w:t>
      </w:r>
    </w:p>
    <w:p>
      <w:pPr>
        <w:spacing w:after="0" w:line="48" w:lineRule="exact"/>
        <w:rPr>
          <w:rFonts w:ascii="Times New Roman" w:cs="Times New Roman" w:eastAsia="Times New Roman" w:hAnsi="Times New Roman"/>
          <w:sz w:val="14"/>
          <w:szCs w:val="14"/>
          <w:color w:val="auto"/>
        </w:rPr>
      </w:pPr>
    </w:p>
    <w:p>
      <w:pPr>
        <w:ind w:left="2040" w:right="359" w:hanging="337"/>
        <w:spacing w:after="0" w:line="291" w:lineRule="auto"/>
        <w:tabs>
          <w:tab w:leader="none" w:pos="2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affirmative vote of not less than 66 2/3% of the total voting power of all outstanding securities of Viasat then entitled to vote generally in the election of directors, voting together as a single class, to amend Viasat’s bylaws.</w:t>
      </w:r>
    </w:p>
    <w:p>
      <w:pPr>
        <w:spacing w:after="0" w:line="124" w:lineRule="exact"/>
        <w:rPr>
          <w:sz w:val="20"/>
          <w:szCs w:val="20"/>
          <w:color w:val="auto"/>
        </w:rPr>
      </w:pPr>
    </w:p>
    <w:p>
      <w:pPr>
        <w:jc w:val="both"/>
        <w:ind w:left="1280" w:right="319" w:firstLine="349"/>
        <w:spacing w:after="0" w:line="264" w:lineRule="auto"/>
        <w:rPr>
          <w:sz w:val="20"/>
          <w:szCs w:val="20"/>
          <w:color w:val="auto"/>
        </w:rPr>
      </w:pPr>
      <w:r>
        <w:rPr>
          <w:rFonts w:ascii="Times New Roman" w:cs="Times New Roman" w:eastAsia="Times New Roman" w:hAnsi="Times New Roman"/>
          <w:sz w:val="14"/>
          <w:szCs w:val="14"/>
          <w:color w:val="auto"/>
        </w:rPr>
        <w:t>These provisions are intended to enhance the likelihood of continuity and stability in the composition of the policies formulated by the board of directors. In addition, these provisions are intended to ensure that the board of directors will have sufficient time to act in what it believes to be in the best interests of Viasat and its stockholders. These provisions also are designed to reduce our vulnerability to an unsolicited proposal for a takeover of Viasat that does not contemplate the acquisition of all of our outstanding shares or an unsolicited proposal for the restructuring or sale of all or part of Viasat. The provisions are also intended to discourage some tactics that may be used in proxy fights.</w:t>
      </w:r>
    </w:p>
    <w:p>
      <w:pPr>
        <w:spacing w:after="0" w:line="2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Classified Board of Directors</w:t>
      </w:r>
    </w:p>
    <w:p>
      <w:pPr>
        <w:spacing w:after="0" w:line="98" w:lineRule="exact"/>
        <w:rPr>
          <w:sz w:val="20"/>
          <w:szCs w:val="20"/>
          <w:color w:val="auto"/>
        </w:rPr>
      </w:pPr>
    </w:p>
    <w:p>
      <w:pPr>
        <w:ind w:left="1280" w:right="299" w:firstLine="349"/>
        <w:spacing w:after="0" w:line="262" w:lineRule="auto"/>
        <w:rPr>
          <w:sz w:val="20"/>
          <w:szCs w:val="20"/>
          <w:color w:val="auto"/>
        </w:rPr>
      </w:pPr>
      <w:r>
        <w:rPr>
          <w:rFonts w:ascii="Times New Roman" w:cs="Times New Roman" w:eastAsia="Times New Roman" w:hAnsi="Times New Roman"/>
          <w:sz w:val="14"/>
          <w:szCs w:val="14"/>
          <w:color w:val="auto"/>
        </w:rPr>
        <w:t>The certificate of incorporation provides for the board of directors to be divided into three classes of directors, with each class as nearly equal in number as possible, serving staggered three-year terms. As a result, approximately one- third of the board of directors will be elected each year. The classified board provision will help to assure the continuity and stability of the board of directors and the business strategies and policies of Viasat as determined by the board of directors. The classified board provision could have the effect of discouraging a third party from making a tender offer or attempting to obtain control of Viasat. In addition, the classified board provision could delay stockholders who do not agree with the policies of the board of directors from removing a majority of the board of directors for two years.</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No Stockholder Action by Written Consent; Special Meetings</w:t>
      </w:r>
    </w:p>
    <w:p>
      <w:pPr>
        <w:spacing w:after="0" w:line="98" w:lineRule="exact"/>
        <w:rPr>
          <w:sz w:val="20"/>
          <w:szCs w:val="20"/>
          <w:color w:val="auto"/>
        </w:rPr>
      </w:pPr>
    </w:p>
    <w:p>
      <w:pPr>
        <w:ind w:left="1280" w:right="339" w:firstLine="349"/>
        <w:spacing w:after="0" w:line="291" w:lineRule="auto"/>
        <w:rPr>
          <w:sz w:val="20"/>
          <w:szCs w:val="20"/>
          <w:color w:val="auto"/>
        </w:rPr>
      </w:pPr>
      <w:r>
        <w:rPr>
          <w:rFonts w:ascii="Times New Roman" w:cs="Times New Roman" w:eastAsia="Times New Roman" w:hAnsi="Times New Roman"/>
          <w:sz w:val="14"/>
          <w:szCs w:val="14"/>
          <w:color w:val="auto"/>
        </w:rPr>
        <w:t>The certificate of incorporation provides that stockholder action can only be taken at an annual or special meeting of stockholders and prohibits stockholder action by written consent in lieu of a meeting.</w:t>
      </w:r>
    </w:p>
    <w:p>
      <w:pPr>
        <w:spacing w:after="0" w:line="124" w:lineRule="exact"/>
        <w:rPr>
          <w:sz w:val="20"/>
          <w:szCs w:val="20"/>
          <w:color w:val="auto"/>
        </w:rPr>
      </w:pPr>
    </w:p>
    <w:p>
      <w:pPr>
        <w:ind w:left="1280" w:right="159" w:firstLine="349"/>
        <w:spacing w:after="0" w:line="273" w:lineRule="auto"/>
        <w:rPr>
          <w:sz w:val="20"/>
          <w:szCs w:val="20"/>
          <w:color w:val="auto"/>
        </w:rPr>
      </w:pPr>
      <w:r>
        <w:rPr>
          <w:rFonts w:ascii="Times New Roman" w:cs="Times New Roman" w:eastAsia="Times New Roman" w:hAnsi="Times New Roman"/>
          <w:sz w:val="14"/>
          <w:szCs w:val="14"/>
          <w:color w:val="auto"/>
        </w:rPr>
        <w:t>The certificate of incorporation also provides that special meetings of stockholders may be called only by the board of directors, its chairman, the president or the secretary of Viasat. Stockholders are not permitted to call a special meeting of stockholders or to require that the board of directors call a special meeting.</w:t>
      </w:r>
    </w:p>
    <w:p>
      <w:pPr>
        <w:spacing w:after="0" w:line="2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Number of Directors; Removal; Filling Vacancies</w:t>
      </w:r>
    </w:p>
    <w:p>
      <w:pPr>
        <w:spacing w:after="0" w:line="98" w:lineRule="exact"/>
        <w:rPr>
          <w:sz w:val="20"/>
          <w:szCs w:val="20"/>
          <w:color w:val="auto"/>
        </w:rPr>
      </w:pPr>
    </w:p>
    <w:p>
      <w:pPr>
        <w:ind w:left="1280" w:right="159" w:firstLine="349"/>
        <w:spacing w:after="0" w:line="260" w:lineRule="auto"/>
        <w:rPr>
          <w:sz w:val="20"/>
          <w:szCs w:val="20"/>
          <w:color w:val="auto"/>
        </w:rPr>
      </w:pPr>
      <w:r>
        <w:rPr>
          <w:rFonts w:ascii="Times New Roman" w:cs="Times New Roman" w:eastAsia="Times New Roman" w:hAnsi="Times New Roman"/>
          <w:sz w:val="14"/>
          <w:szCs w:val="14"/>
          <w:color w:val="auto"/>
        </w:rPr>
        <w:t>The certificate of incorporation provides that the board of directors will consist of between four and eleven members, the exact number to be fixed by resolution adopted by affirmative vote of a majority of the board of directors. Further, the certificate of incorporation authorizes the board of directors to fill newly created directorships. Accordingly, this provision could prevent a stockholder from obtaining majority representation on the board of directors by permitting the board of directors to enlarge the size of the board and fill the new directorships with its own nominees. A director so elected by the board of directors holds office until the next election of the class for which the director has been chosen and until his or her successor is elected and qualified. The certificate of incorporation also provides that directors may be removed only for cause and only by the affirmative vote of holders of a majority of the total voting power of all outstanding securities. The effect of these provisions is to preclude a stockholder from removing incumbent directors without cause and simultaneously gaining control of the board of directors by filling the vacancies created by the removal with its own nominees.</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Preferred Stock</w:t>
      </w:r>
    </w:p>
    <w:p>
      <w:pPr>
        <w:spacing w:after="0" w:line="98" w:lineRule="exact"/>
        <w:rPr>
          <w:sz w:val="20"/>
          <w:szCs w:val="20"/>
          <w:color w:val="auto"/>
        </w:rPr>
      </w:pPr>
    </w:p>
    <w:p>
      <w:pPr>
        <w:ind w:left="1280" w:right="219" w:firstLine="349"/>
        <w:spacing w:after="0" w:line="291" w:lineRule="auto"/>
        <w:rPr>
          <w:sz w:val="20"/>
          <w:szCs w:val="20"/>
          <w:color w:val="auto"/>
        </w:rPr>
      </w:pPr>
      <w:r>
        <w:rPr>
          <w:rFonts w:ascii="Times New Roman" w:cs="Times New Roman" w:eastAsia="Times New Roman" w:hAnsi="Times New Roman"/>
          <w:sz w:val="14"/>
          <w:szCs w:val="14"/>
          <w:color w:val="auto"/>
        </w:rPr>
        <w:t>Under our certificate of incorporation, our board of directors is authorized to issue shares of our preferred stock from time to time, in one or more classes or series, without stockholder approval. Prior to the issuance of</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1"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jc w:val="both"/>
        <w:ind w:left="1280" w:right="379"/>
        <w:spacing w:after="0" w:line="273" w:lineRule="auto"/>
        <w:rPr>
          <w:sz w:val="20"/>
          <w:szCs w:val="20"/>
          <w:color w:val="auto"/>
        </w:rPr>
      </w:pPr>
      <w:r>
        <w:rPr>
          <w:rFonts w:ascii="Times New Roman" w:cs="Times New Roman" w:eastAsia="Times New Roman" w:hAnsi="Times New Roman"/>
          <w:sz w:val="14"/>
          <w:szCs w:val="14"/>
          <w:color w:val="auto"/>
        </w:rPr>
        <w:t>shares of each series, the board of directors is required by the DGCL and our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the following:</w:t>
      </w:r>
    </w:p>
    <w:p>
      <w:pPr>
        <w:spacing w:after="0" w:line="61" w:lineRule="exact"/>
        <w:rPr>
          <w:sz w:val="20"/>
          <w:szCs w:val="20"/>
          <w:color w:val="auto"/>
        </w:rPr>
      </w:pPr>
    </w:p>
    <w:p>
      <w:pPr>
        <w:ind w:left="2040" w:hanging="337"/>
        <w:spacing w:after="0"/>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constituting each class or series;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and terms of redemption, including sinking fund provisions;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rights and rates;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dissolution;</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terms concerning the distribution of assets;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terms;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prices; and</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preferences.</w:t>
      </w:r>
    </w:p>
    <w:p>
      <w:pPr>
        <w:spacing w:after="0" w:line="182" w:lineRule="exact"/>
        <w:rPr>
          <w:sz w:val="20"/>
          <w:szCs w:val="20"/>
          <w:color w:val="auto"/>
        </w:rPr>
      </w:pPr>
    </w:p>
    <w:p>
      <w:pPr>
        <w:ind w:left="1280" w:right="319" w:firstLine="349"/>
        <w:spacing w:after="0" w:line="273" w:lineRule="auto"/>
        <w:rPr>
          <w:sz w:val="20"/>
          <w:szCs w:val="20"/>
          <w:color w:val="auto"/>
        </w:rPr>
      </w:pPr>
      <w:r>
        <w:rPr>
          <w:rFonts w:ascii="Times New Roman" w:cs="Times New Roman" w:eastAsia="Times New Roman" w:hAnsi="Times New Roman"/>
          <w:sz w:val="14"/>
          <w:szCs w:val="14"/>
          <w:color w:val="auto"/>
        </w:rPr>
        <w:t>All shares of preferred stock will, when issued, be fully paid and nonassessable and will not have any preemptive or similar rights. Our board of directors could authorize the issuance of shares of preferred stock with terms and conditions that could have the effect of discouraging a takeover or other transaction that might involve a premium price for holders of the shares or that holders might believe to be in their best interests.</w:t>
      </w:r>
    </w:p>
    <w:p>
      <w:pPr>
        <w:spacing w:after="0" w:line="1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Unless we specify otherwise, the preferred stock will rank, relating to dividends and upon our liquidation, dissolution or winding up:</w:t>
      </w:r>
    </w:p>
    <w:p>
      <w:pPr>
        <w:spacing w:after="0" w:line="107" w:lineRule="exact"/>
        <w:rPr>
          <w:sz w:val="20"/>
          <w:szCs w:val="20"/>
          <w:color w:val="auto"/>
        </w:rPr>
      </w:pPr>
    </w:p>
    <w:p>
      <w:pPr>
        <w:ind w:left="2040" w:hanging="337"/>
        <w:spacing w:after="0"/>
        <w:tabs>
          <w:tab w:leader="none" w:pos="2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all classes or series of our common stock and to all of our equity securities ranking junior to the preferred stock;</w:t>
      </w:r>
    </w:p>
    <w:p>
      <w:pPr>
        <w:spacing w:after="0" w:line="106" w:lineRule="exact"/>
        <w:rPr>
          <w:rFonts w:ascii="Times New Roman" w:cs="Times New Roman" w:eastAsia="Times New Roman" w:hAnsi="Times New Roman"/>
          <w:sz w:val="14"/>
          <w:szCs w:val="14"/>
          <w:color w:val="auto"/>
        </w:rPr>
      </w:pPr>
    </w:p>
    <w:p>
      <w:pPr>
        <w:ind w:left="2040" w:right="559" w:hanging="337"/>
        <w:spacing w:after="0" w:line="291" w:lineRule="auto"/>
        <w:tabs>
          <w:tab w:leader="none" w:pos="2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parity with all of our equity securities the terms of which specifically provide that the equity securities rank on a parity with the preferred stock; and</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all of our equity securities the terms of which specifically provide that the equity securities rank senior to the preferred stock.</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term equity securities does not include convertible debt securities.</w:t>
      </w:r>
    </w:p>
    <w:p>
      <w:pPr>
        <w:spacing w:after="0" w:line="2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“VSAT.”</w:t>
      </w:r>
    </w:p>
    <w:p>
      <w:pPr>
        <w:spacing w:after="0" w:line="2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w:t>
      </w:r>
    </w:p>
    <w:p>
      <w:pPr>
        <w:spacing w:after="0" w:line="1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9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84" w:lineRule="exact"/>
        <w:rPr>
          <w:sz w:val="20"/>
          <w:szCs w:val="20"/>
          <w:color w:val="auto"/>
        </w:rPr>
      </w:pPr>
    </w:p>
    <w:p>
      <w:pPr>
        <w:ind w:left="1280" w:right="139" w:firstLine="349"/>
        <w:spacing w:after="0" w:line="267"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40" w:lineRule="exact"/>
        <w:rPr>
          <w:sz w:val="20"/>
          <w:szCs w:val="20"/>
          <w:color w:val="auto"/>
        </w:rPr>
      </w:pPr>
    </w:p>
    <w:p>
      <w:pPr>
        <w:jc w:val="both"/>
        <w:ind w:left="1280" w:right="159" w:firstLine="349"/>
        <w:spacing w:after="0" w:line="273"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36" w:lineRule="exact"/>
        <w:rPr>
          <w:sz w:val="20"/>
          <w:szCs w:val="20"/>
          <w:color w:val="auto"/>
        </w:rPr>
      </w:pPr>
    </w:p>
    <w:p>
      <w:pPr>
        <w:ind w:left="1280" w:right="159" w:firstLine="349"/>
        <w:spacing w:after="0" w:line="264"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Wilmington Trust, N.A. (or other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43" w:lineRule="exact"/>
        <w:rPr>
          <w:sz w:val="20"/>
          <w:szCs w:val="20"/>
          <w:color w:val="auto"/>
        </w:rPr>
      </w:pPr>
    </w:p>
    <w:p>
      <w:pPr>
        <w:ind w:left="1280" w:right="359" w:firstLine="349"/>
        <w:spacing w:after="0" w:line="291" w:lineRule="auto"/>
        <w:rPr>
          <w:sz w:val="20"/>
          <w:szCs w:val="20"/>
          <w:color w:val="auto"/>
        </w:rPr>
      </w:pPr>
      <w:r>
        <w:rPr>
          <w:rFonts w:ascii="Times New Roman" w:cs="Times New Roman" w:eastAsia="Times New Roman" w:hAnsi="Times New Roman"/>
          <w:sz w:val="14"/>
          <w:szCs w:val="14"/>
          <w:color w:val="auto"/>
        </w:rPr>
        <w:t>As used in this section only, “Viasat,” “we,” “our” or “us” refer to Viasat, Inc. excluding our subsidiaries, unless expressly stated or the context otherwise requires.</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8" w:lineRule="exact"/>
        <w:rPr>
          <w:sz w:val="20"/>
          <w:szCs w:val="20"/>
          <w:color w:val="auto"/>
        </w:rPr>
      </w:pPr>
    </w:p>
    <w:p>
      <w:pPr>
        <w:ind w:left="1280" w:right="159" w:firstLine="349"/>
        <w:spacing w:after="0" w:line="270"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313" w:lineRule="exact"/>
        <w:rPr>
          <w:sz w:val="20"/>
          <w:szCs w:val="20"/>
          <w:color w:val="auto"/>
        </w:rPr>
      </w:pPr>
    </w:p>
    <w:p>
      <w:pPr>
        <w:jc w:val="both"/>
        <w:ind w:left="1280" w:right="259" w:firstLine="349"/>
        <w:spacing w:after="0" w:line="273"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61" w:lineRule="exact"/>
        <w:rPr>
          <w:sz w:val="20"/>
          <w:szCs w:val="20"/>
          <w:color w:val="auto"/>
        </w:rPr>
      </w:pPr>
    </w:p>
    <w:p>
      <w:pPr>
        <w:ind w:left="2040" w:hanging="337"/>
        <w:spacing w:after="0"/>
        <w:tabs>
          <w:tab w:leader="none" w:pos="2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106" w:lineRule="exact"/>
        <w:rPr>
          <w:rFonts w:ascii="Times New Roman" w:cs="Times New Roman" w:eastAsia="Times New Roman" w:hAnsi="Times New Roman"/>
          <w:sz w:val="14"/>
          <w:szCs w:val="14"/>
          <w:color w:val="auto"/>
        </w:rPr>
      </w:pPr>
    </w:p>
    <w:p>
      <w:pPr>
        <w:ind w:left="2040" w:right="259" w:hanging="337"/>
        <w:spacing w:after="0" w:line="267" w:lineRule="auto"/>
        <w:tabs>
          <w:tab w:leader="none" w:pos="2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65" w:lineRule="exact"/>
        <w:rPr>
          <w:rFonts w:ascii="Times New Roman" w:cs="Times New Roman" w:eastAsia="Times New Roman" w:hAnsi="Times New Roman"/>
          <w:sz w:val="14"/>
          <w:szCs w:val="14"/>
          <w:color w:val="auto"/>
        </w:rPr>
      </w:pPr>
    </w:p>
    <w:p>
      <w:pPr>
        <w:jc w:val="both"/>
        <w:ind w:left="2040" w:right="219" w:hanging="337"/>
        <w:spacing w:after="0" w:line="273" w:lineRule="auto"/>
        <w:tabs>
          <w:tab w:leader="none" w:pos="2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9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2040" w:right="719" w:hanging="337"/>
        <w:spacing w:after="0" w:line="291"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we may redeem the debt securities;</w:t>
      </w:r>
    </w:p>
    <w:p>
      <w:pPr>
        <w:spacing w:after="0" w:line="48" w:lineRule="exact"/>
        <w:rPr>
          <w:rFonts w:ascii="Times New Roman" w:cs="Times New Roman" w:eastAsia="Times New Roman" w:hAnsi="Times New Roman"/>
          <w:sz w:val="14"/>
          <w:szCs w:val="14"/>
          <w:color w:val="auto"/>
        </w:rPr>
      </w:pPr>
    </w:p>
    <w:p>
      <w:pPr>
        <w:ind w:left="2040" w:right="199" w:hanging="337"/>
        <w:spacing w:after="0" w:line="273"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61" w:lineRule="exact"/>
        <w:rPr>
          <w:rFonts w:ascii="Times New Roman" w:cs="Times New Roman" w:eastAsia="Times New Roman" w:hAnsi="Times New Roman"/>
          <w:sz w:val="14"/>
          <w:szCs w:val="14"/>
          <w:color w:val="auto"/>
        </w:rPr>
      </w:pPr>
    </w:p>
    <w:p>
      <w:pPr>
        <w:ind w:left="2040" w:right="419" w:hanging="337"/>
        <w:spacing w:after="0" w:line="291"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106" w:lineRule="exact"/>
        <w:rPr>
          <w:rFonts w:ascii="Times New Roman" w:cs="Times New Roman" w:eastAsia="Times New Roman" w:hAnsi="Times New Roman"/>
          <w:sz w:val="14"/>
          <w:szCs w:val="14"/>
          <w:color w:val="auto"/>
        </w:rPr>
      </w:pPr>
    </w:p>
    <w:p>
      <w:pPr>
        <w:ind w:left="2040" w:right="619" w:hanging="337"/>
        <w:spacing w:after="0" w:line="291"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48" w:lineRule="exact"/>
        <w:rPr>
          <w:rFonts w:ascii="Times New Roman" w:cs="Times New Roman" w:eastAsia="Times New Roman" w:hAnsi="Times New Roman"/>
          <w:sz w:val="14"/>
          <w:szCs w:val="14"/>
          <w:color w:val="auto"/>
        </w:rPr>
      </w:pPr>
    </w:p>
    <w:p>
      <w:pPr>
        <w:ind w:left="2040" w:right="839" w:hanging="337"/>
        <w:spacing w:after="0" w:line="291"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48" w:lineRule="exact"/>
        <w:rPr>
          <w:rFonts w:ascii="Times New Roman" w:cs="Times New Roman" w:eastAsia="Times New Roman" w:hAnsi="Times New Roman"/>
          <w:sz w:val="14"/>
          <w:szCs w:val="14"/>
          <w:color w:val="auto"/>
        </w:rPr>
      </w:pPr>
    </w:p>
    <w:p>
      <w:pPr>
        <w:ind w:left="2040" w:right="259" w:hanging="337"/>
        <w:spacing w:after="0" w:line="291"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48" w:lineRule="exact"/>
        <w:rPr>
          <w:rFonts w:ascii="Times New Roman" w:cs="Times New Roman" w:eastAsia="Times New Roman" w:hAnsi="Times New Roman"/>
          <w:sz w:val="14"/>
          <w:szCs w:val="14"/>
          <w:color w:val="auto"/>
        </w:rPr>
      </w:pPr>
    </w:p>
    <w:p>
      <w:pPr>
        <w:ind w:left="2040" w:right="279" w:hanging="337"/>
        <w:spacing w:after="0" w:line="273"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61" w:lineRule="exact"/>
        <w:rPr>
          <w:rFonts w:ascii="Times New Roman" w:cs="Times New Roman" w:eastAsia="Times New Roman" w:hAnsi="Times New Roman"/>
          <w:sz w:val="14"/>
          <w:szCs w:val="14"/>
          <w:color w:val="auto"/>
        </w:rPr>
      </w:pPr>
    </w:p>
    <w:p>
      <w:pPr>
        <w:jc w:val="both"/>
        <w:ind w:left="2040" w:right="199" w:hanging="337"/>
        <w:spacing w:after="0" w:line="273"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61"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106" w:lineRule="exact"/>
        <w:rPr>
          <w:rFonts w:ascii="Times New Roman" w:cs="Times New Roman" w:eastAsia="Times New Roman" w:hAnsi="Times New Roman"/>
          <w:sz w:val="14"/>
          <w:szCs w:val="14"/>
          <w:color w:val="auto"/>
        </w:rPr>
      </w:pPr>
    </w:p>
    <w:p>
      <w:pPr>
        <w:ind w:left="2040" w:right="259" w:hanging="337"/>
        <w:spacing w:after="0" w:line="291"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covenants described in this prospectus or in the indenture with respect to the debt securities;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106" w:lineRule="exact"/>
        <w:rPr>
          <w:rFonts w:ascii="Times New Roman" w:cs="Times New Roman" w:eastAsia="Times New Roman" w:hAnsi="Times New Roman"/>
          <w:sz w:val="14"/>
          <w:szCs w:val="14"/>
          <w:color w:val="auto"/>
        </w:rPr>
      </w:pPr>
    </w:p>
    <w:p>
      <w:pPr>
        <w:ind w:left="2040" w:right="299" w:hanging="337"/>
        <w:spacing w:after="0" w:line="273"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61" w:lineRule="exact"/>
        <w:rPr>
          <w:rFonts w:ascii="Times New Roman" w:cs="Times New Roman" w:eastAsia="Times New Roman" w:hAnsi="Times New Roman"/>
          <w:sz w:val="14"/>
          <w:szCs w:val="14"/>
          <w:color w:val="auto"/>
        </w:rPr>
      </w:pPr>
    </w:p>
    <w:p>
      <w:pPr>
        <w:ind w:left="2040" w:right="339" w:hanging="337"/>
        <w:spacing w:after="0" w:line="273"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1" w:lineRule="exact"/>
        <w:rPr>
          <w:rFonts w:ascii="Times New Roman" w:cs="Times New Roman" w:eastAsia="Times New Roman" w:hAnsi="Times New Roman"/>
          <w:sz w:val="14"/>
          <w:szCs w:val="14"/>
          <w:color w:val="auto"/>
        </w:rPr>
      </w:pPr>
    </w:p>
    <w:p>
      <w:pPr>
        <w:ind w:left="2040" w:right="339" w:hanging="337"/>
        <w:spacing w:after="0" w:line="291"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 (Section 2.2).</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9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219" w:firstLine="349"/>
        <w:spacing w:after="0" w:line="273"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36" w:lineRule="exact"/>
        <w:rPr>
          <w:sz w:val="20"/>
          <w:szCs w:val="20"/>
          <w:color w:val="auto"/>
        </w:rPr>
      </w:pPr>
    </w:p>
    <w:p>
      <w:pPr>
        <w:ind w:left="1280" w:right="159" w:firstLine="349"/>
        <w:spacing w:after="0" w:line="267" w:lineRule="auto"/>
        <w:rPr>
          <w:sz w:val="20"/>
          <w:szCs w:val="20"/>
          <w:color w:val="auto"/>
        </w:rPr>
      </w:pPr>
      <w:r>
        <w:rPr>
          <w:rFonts w:ascii="Times New Roman" w:cs="Times New Roman" w:eastAsia="Times New Roman" w:hAnsi="Times New Roman"/>
          <w:sz w:val="14"/>
          <w:szCs w:val="14"/>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8" w:lineRule="exact"/>
        <w:rPr>
          <w:sz w:val="20"/>
          <w:szCs w:val="20"/>
          <w:color w:val="auto"/>
        </w:rPr>
      </w:pPr>
    </w:p>
    <w:p>
      <w:pPr>
        <w:ind w:left="1280" w:right="139" w:firstLine="349"/>
        <w:spacing w:after="0" w:line="264"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41" w:lineRule="exact"/>
        <w:rPr>
          <w:sz w:val="20"/>
          <w:szCs w:val="20"/>
          <w:color w:val="auto"/>
        </w:rPr>
      </w:pPr>
    </w:p>
    <w:p>
      <w:pPr>
        <w:jc w:val="both"/>
        <w:ind w:left="1280" w:right="379" w:firstLine="349"/>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Certificated Debt Securities. </w:t>
      </w:r>
      <w:r>
        <w:rPr>
          <w:rFonts w:ascii="Times New Roman" w:cs="Times New Roman" w:eastAsia="Times New Roman" w:hAnsi="Times New Roman"/>
          <w:sz w:val="14"/>
          <w:szCs w:val="14"/>
          <w:color w:val="auto"/>
        </w:rPr>
        <w:t>You may transfer or exchange certificated debt securities at any office we maintain for this purpose in accordance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36" w:lineRule="exact"/>
        <w:rPr>
          <w:sz w:val="20"/>
          <w:szCs w:val="20"/>
          <w:color w:val="auto"/>
        </w:rPr>
      </w:pPr>
    </w:p>
    <w:p>
      <w:pPr>
        <w:ind w:left="1280" w:right="219" w:firstLine="349"/>
        <w:spacing w:after="0" w:line="273"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34" w:lineRule="exact"/>
        <w:rPr>
          <w:sz w:val="20"/>
          <w:szCs w:val="20"/>
          <w:color w:val="auto"/>
        </w:rPr>
      </w:pPr>
    </w:p>
    <w:p>
      <w:pPr>
        <w:ind w:left="1280" w:right="159" w:firstLine="349"/>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Global Debt Securities and Book-Entry System. </w:t>
      </w:r>
      <w:r>
        <w:rPr>
          <w:rFonts w:ascii="Times New Roman" w:cs="Times New Roman" w:eastAsia="Times New Roman" w:hAnsi="Times New Roman"/>
          <w:sz w:val="14"/>
          <w:szCs w:val="14"/>
          <w:color w:val="auto"/>
        </w:rPr>
        <w:t>Each global debt security representing book-entry debt securities will be deposited with, or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behalf of, the Depositary, and registered in the name of the Depositary or a nominee of the Depositary. Please see the section entitled “Global Securities” for more information.</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 (Article IV).</w:t>
      </w:r>
    </w:p>
    <w:p>
      <w:pPr>
        <w:spacing w:after="0" w:line="2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98" w:lineRule="exact"/>
        <w:rPr>
          <w:sz w:val="20"/>
          <w:szCs w:val="20"/>
          <w:color w:val="auto"/>
        </w:rPr>
      </w:pPr>
    </w:p>
    <w:p>
      <w:pPr>
        <w:ind w:left="1280" w:right="179" w:firstLine="349"/>
        <w:spacing w:after="0" w:line="273"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9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98" w:lineRule="exact"/>
        <w:rPr>
          <w:sz w:val="20"/>
          <w:szCs w:val="20"/>
          <w:color w:val="auto"/>
        </w:rPr>
      </w:pPr>
    </w:p>
    <w:p>
      <w:pPr>
        <w:ind w:left="1280" w:right="159" w:firstLine="349"/>
        <w:spacing w:after="0" w:line="291" w:lineRule="auto"/>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properties and assets to, any person (a “successor person”), unless:</w:t>
      </w:r>
    </w:p>
    <w:p>
      <w:pPr>
        <w:spacing w:after="0" w:line="49" w:lineRule="exact"/>
        <w:rPr>
          <w:sz w:val="20"/>
          <w:szCs w:val="20"/>
          <w:color w:val="auto"/>
        </w:rPr>
      </w:pPr>
    </w:p>
    <w:p>
      <w:pPr>
        <w:ind w:left="2040" w:right="159" w:hanging="337"/>
        <w:spacing w:after="0" w:line="273" w:lineRule="auto"/>
        <w:tabs>
          <w:tab w:leader="none" w:pos="2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entity or the successor person (if other than Viasat) is a corporation, partnership, trust or other entity organized and validly existing under the laws of any U.S. domestic jurisdiction and expressly assumes our obligations on the debt securities and under the indenture; and</w:t>
      </w:r>
    </w:p>
    <w:p>
      <w:pPr>
        <w:spacing w:after="0" w:line="61"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Notwithstanding the above, any of our subsidiaries may consolidate with, merge into or transfer all or part of its properties to us (Section 5.1).</w:t>
      </w:r>
    </w:p>
    <w:p>
      <w:pPr>
        <w:spacing w:after="0" w:line="2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 xml:space="preserve">“Event of Default” </w:t>
      </w:r>
      <w:r>
        <w:rPr>
          <w:rFonts w:ascii="Times New Roman" w:cs="Times New Roman" w:eastAsia="Times New Roman" w:hAnsi="Times New Roman"/>
          <w:sz w:val="14"/>
          <w:szCs w:val="14"/>
          <w:color w:val="auto"/>
        </w:rPr>
        <w:t>means, with respect to any series of debt securities, any of the following:</w:t>
      </w:r>
    </w:p>
    <w:p>
      <w:pPr>
        <w:spacing w:after="0" w:line="109" w:lineRule="exact"/>
        <w:rPr>
          <w:sz w:val="20"/>
          <w:szCs w:val="20"/>
          <w:color w:val="auto"/>
        </w:rPr>
      </w:pPr>
    </w:p>
    <w:p>
      <w:pPr>
        <w:ind w:left="2040" w:right="279" w:hanging="337"/>
        <w:spacing w:after="0" w:line="273" w:lineRule="auto"/>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61"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106" w:lineRule="exact"/>
        <w:rPr>
          <w:rFonts w:ascii="Times New Roman" w:cs="Times New Roman" w:eastAsia="Times New Roman" w:hAnsi="Times New Roman"/>
          <w:sz w:val="14"/>
          <w:szCs w:val="14"/>
          <w:color w:val="auto"/>
        </w:rPr>
      </w:pPr>
    </w:p>
    <w:p>
      <w:pPr>
        <w:ind w:left="2040" w:right="279" w:hanging="337"/>
        <w:spacing w:after="0" w:line="267" w:lineRule="auto"/>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Viasat and the trustee receive written notice from the holders of not less than 25% in principal amount of the outstanding debt securities of that series as provided in the indenture;</w:t>
      </w:r>
    </w:p>
    <w:p>
      <w:pPr>
        <w:spacing w:after="0" w:line="65"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Viasat; and</w:t>
      </w:r>
    </w:p>
    <w:p>
      <w:pPr>
        <w:spacing w:after="0" w:line="106" w:lineRule="exact"/>
        <w:rPr>
          <w:rFonts w:ascii="Times New Roman" w:cs="Times New Roman" w:eastAsia="Times New Roman" w:hAnsi="Times New Roman"/>
          <w:sz w:val="14"/>
          <w:szCs w:val="14"/>
          <w:color w:val="auto"/>
        </w:rPr>
      </w:pPr>
    </w:p>
    <w:p>
      <w:pPr>
        <w:ind w:left="2040" w:right="279" w:hanging="337"/>
        <w:spacing w:after="0" w:line="291" w:lineRule="auto"/>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 (Section 6.1).</w:t>
      </w:r>
    </w:p>
    <w:p>
      <w:pPr>
        <w:spacing w:after="0" w:line="124" w:lineRule="exact"/>
        <w:rPr>
          <w:sz w:val="20"/>
          <w:szCs w:val="20"/>
          <w:color w:val="auto"/>
        </w:rPr>
      </w:pPr>
    </w:p>
    <w:p>
      <w:pPr>
        <w:jc w:val="both"/>
        <w:ind w:left="1280" w:right="219" w:firstLine="349"/>
        <w:spacing w:after="0" w:line="267"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40" w:lineRule="exact"/>
        <w:rPr>
          <w:sz w:val="20"/>
          <w:szCs w:val="20"/>
          <w:color w:val="auto"/>
        </w:rPr>
      </w:pPr>
    </w:p>
    <w:p>
      <w:pPr>
        <w:ind w:left="1280" w:right="219" w:firstLine="349"/>
        <w:spacing w:after="0" w:line="273"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36" w:lineRule="exact"/>
        <w:rPr>
          <w:sz w:val="20"/>
          <w:szCs w:val="20"/>
          <w:color w:val="auto"/>
        </w:rPr>
      </w:pPr>
    </w:p>
    <w:p>
      <w:pPr>
        <w:ind w:left="1280" w:right="159" w:firstLine="349"/>
        <w:spacing w:after="0" w:line="262"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9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179"/>
        <w:spacing w:after="0" w:line="261" w:lineRule="auto"/>
        <w:rPr>
          <w:sz w:val="20"/>
          <w:szCs w:val="20"/>
          <w:color w:val="auto"/>
        </w:rPr>
      </w:pPr>
      <w:r>
        <w:rPr>
          <w:rFonts w:ascii="Times New Roman" w:cs="Times New Roman" w:eastAsia="Times New Roman" w:hAnsi="Times New Roman"/>
          <w:sz w:val="14"/>
          <w:szCs w:val="14"/>
          <w:color w:val="auto"/>
        </w:rPr>
        <w:t>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45" w:lineRule="exact"/>
        <w:rPr>
          <w:sz w:val="20"/>
          <w:szCs w:val="20"/>
          <w:color w:val="auto"/>
        </w:rPr>
      </w:pPr>
    </w:p>
    <w:p>
      <w:pPr>
        <w:ind w:left="1280" w:right="299" w:firstLine="349"/>
        <w:spacing w:after="0" w:line="264" w:lineRule="auto"/>
        <w:rPr>
          <w:sz w:val="20"/>
          <w:szCs w:val="20"/>
          <w:color w:val="auto"/>
        </w:rPr>
      </w:pPr>
      <w:r>
        <w:rPr>
          <w:rFonts w:ascii="Times New Roman" w:cs="Times New Roman" w:eastAsia="Times New Roman" w:hAnsi="Times New Roman"/>
          <w:sz w:val="14"/>
          <w:szCs w:val="14"/>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43" w:lineRule="exact"/>
        <w:rPr>
          <w:sz w:val="20"/>
          <w:szCs w:val="20"/>
          <w:color w:val="auto"/>
        </w:rPr>
      </w:pPr>
    </w:p>
    <w:p>
      <w:pPr>
        <w:ind w:left="1280" w:right="279" w:firstLine="349"/>
        <w:spacing w:after="0" w:line="291"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49" w:lineRule="exact"/>
        <w:rPr>
          <w:sz w:val="20"/>
          <w:szCs w:val="20"/>
          <w:color w:val="auto"/>
        </w:rPr>
      </w:pPr>
    </w:p>
    <w:p>
      <w:pPr>
        <w:ind w:left="2040" w:right="659" w:hanging="337"/>
        <w:spacing w:after="0" w:line="291" w:lineRule="auto"/>
        <w:tabs>
          <w:tab w:leader="none" w:pos="2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48" w:lineRule="exact"/>
        <w:rPr>
          <w:rFonts w:ascii="Times New Roman" w:cs="Times New Roman" w:eastAsia="Times New Roman" w:hAnsi="Times New Roman"/>
          <w:sz w:val="14"/>
          <w:szCs w:val="14"/>
          <w:color w:val="auto"/>
        </w:rPr>
      </w:pPr>
    </w:p>
    <w:p>
      <w:pPr>
        <w:ind w:left="2040" w:right="179" w:hanging="337"/>
        <w:spacing w:after="0" w:line="267" w:lineRule="auto"/>
        <w:tabs>
          <w:tab w:leader="none" w:pos="2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40" w:lineRule="exact"/>
        <w:rPr>
          <w:sz w:val="20"/>
          <w:szCs w:val="20"/>
          <w:color w:val="auto"/>
        </w:rPr>
      </w:pPr>
    </w:p>
    <w:p>
      <w:pPr>
        <w:ind w:left="1280" w:right="299" w:firstLine="349"/>
        <w:spacing w:after="0" w:line="273"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36" w:lineRule="exact"/>
        <w:rPr>
          <w:sz w:val="20"/>
          <w:szCs w:val="20"/>
          <w:color w:val="auto"/>
        </w:rPr>
      </w:pPr>
    </w:p>
    <w:p>
      <w:pPr>
        <w:ind w:left="1280" w:right="199" w:firstLine="349"/>
        <w:spacing w:after="0" w:line="261"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8" w:lineRule="exact"/>
        <w:rPr>
          <w:sz w:val="20"/>
          <w:szCs w:val="20"/>
          <w:color w:val="auto"/>
        </w:rPr>
      </w:pPr>
    </w:p>
    <w:p>
      <w:pPr>
        <w:ind w:left="1280" w:right="359" w:firstLine="349"/>
        <w:spacing w:after="0" w:line="291" w:lineRule="auto"/>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49" w:lineRule="exact"/>
        <w:rPr>
          <w:sz w:val="20"/>
          <w:szCs w:val="20"/>
          <w:color w:val="auto"/>
        </w:rPr>
      </w:pPr>
    </w:p>
    <w:p>
      <w:pPr>
        <w:ind w:left="2040" w:hanging="337"/>
        <w:spacing w:after="0"/>
        <w:tabs>
          <w:tab w:leader="none" w:pos="2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06" w:lineRule="exact"/>
        <w:rPr>
          <w:rFonts w:ascii="Times New Roman" w:cs="Times New Roman" w:eastAsia="Times New Roman" w:hAnsi="Times New Roman"/>
          <w:sz w:val="14"/>
          <w:szCs w:val="14"/>
          <w:color w:val="auto"/>
        </w:rPr>
      </w:pPr>
    </w:p>
    <w:p>
      <w:pPr>
        <w:jc w:val="center"/>
        <w:ind w:left="5580" w:right="1119" w:hanging="3877"/>
        <w:spacing w:after="0" w:line="467" w:lineRule="auto"/>
        <w:tabs>
          <w:tab w:leader="none" w:pos="205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 16</w:t>
      </w:r>
    </w:p>
    <w:p>
      <w:pPr>
        <w:sectPr>
          <w:pgSz w:w="11900" w:h="16838" w:orient="portrait"/>
          <w:cols w:equalWidth="0" w:num="1">
            <w:col w:w="10159"/>
          </w:cols>
          <w:pgMar w:left="300" w:top="39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debt securities of any series as permitted by the indenture;</w:t>
      </w:r>
    </w:p>
    <w:p>
      <w:pPr>
        <w:spacing w:after="0" w:line="106" w:lineRule="exact"/>
        <w:rPr>
          <w:rFonts w:ascii="Times New Roman" w:cs="Times New Roman" w:eastAsia="Times New Roman" w:hAnsi="Times New Roman"/>
          <w:sz w:val="14"/>
          <w:szCs w:val="14"/>
          <w:color w:val="auto"/>
        </w:rPr>
      </w:pPr>
    </w:p>
    <w:p>
      <w:pPr>
        <w:ind w:left="2040" w:right="759" w:hanging="337"/>
        <w:spacing w:after="0" w:line="291" w:lineRule="auto"/>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48" w:lineRule="exact"/>
        <w:rPr>
          <w:rFonts w:ascii="Times New Roman" w:cs="Times New Roman" w:eastAsia="Times New Roman" w:hAnsi="Times New Roman"/>
          <w:sz w:val="14"/>
          <w:szCs w:val="14"/>
          <w:color w:val="auto"/>
        </w:rPr>
      </w:pPr>
    </w:p>
    <w:p>
      <w:pPr>
        <w:ind w:left="2040" w:right="499" w:hanging="337"/>
        <w:spacing w:after="0" w:line="291" w:lineRule="auto"/>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 (Section 9.1).</w:t>
      </w:r>
    </w:p>
    <w:p>
      <w:pPr>
        <w:spacing w:after="0" w:line="38" w:lineRule="exact"/>
        <w:rPr>
          <w:sz w:val="20"/>
          <w:szCs w:val="20"/>
          <w:color w:val="auto"/>
        </w:rPr>
      </w:pPr>
    </w:p>
    <w:p>
      <w:pPr>
        <w:jc w:val="both"/>
        <w:ind w:left="1280" w:right="399" w:firstLine="349"/>
        <w:spacing w:after="0" w:line="273"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61" w:lineRule="exact"/>
        <w:rPr>
          <w:sz w:val="20"/>
          <w:szCs w:val="20"/>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106" w:lineRule="exact"/>
        <w:rPr>
          <w:rFonts w:ascii="Times New Roman" w:cs="Times New Roman" w:eastAsia="Times New Roman" w:hAnsi="Times New Roman"/>
          <w:sz w:val="14"/>
          <w:szCs w:val="14"/>
          <w:color w:val="auto"/>
        </w:rPr>
      </w:pPr>
    </w:p>
    <w:p>
      <w:pPr>
        <w:ind w:left="2040" w:right="179" w:hanging="337"/>
        <w:spacing w:after="0" w:line="291" w:lineRule="auto"/>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106" w:lineRule="exact"/>
        <w:rPr>
          <w:rFonts w:ascii="Times New Roman" w:cs="Times New Roman" w:eastAsia="Times New Roman" w:hAnsi="Times New Roman"/>
          <w:sz w:val="14"/>
          <w:szCs w:val="14"/>
          <w:color w:val="auto"/>
        </w:rPr>
      </w:pPr>
    </w:p>
    <w:p>
      <w:pPr>
        <w:ind w:left="2040" w:right="239" w:hanging="337"/>
        <w:spacing w:after="0" w:line="273" w:lineRule="auto"/>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1"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106" w:lineRule="exact"/>
        <w:rPr>
          <w:rFonts w:ascii="Times New Roman" w:cs="Times New Roman" w:eastAsia="Times New Roman" w:hAnsi="Times New Roman"/>
          <w:sz w:val="14"/>
          <w:szCs w:val="14"/>
          <w:color w:val="auto"/>
        </w:rPr>
      </w:pPr>
    </w:p>
    <w:p>
      <w:pPr>
        <w:ind w:left="2040" w:right="159" w:hanging="337"/>
        <w:spacing w:after="0" w:line="273" w:lineRule="auto"/>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61"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 (Section 9.3).</w:t>
      </w:r>
    </w:p>
    <w:p>
      <w:pPr>
        <w:spacing w:after="0" w:line="182" w:lineRule="exact"/>
        <w:rPr>
          <w:sz w:val="20"/>
          <w:szCs w:val="20"/>
          <w:color w:val="auto"/>
        </w:rPr>
      </w:pPr>
    </w:p>
    <w:p>
      <w:pPr>
        <w:ind w:left="1280" w:right="179" w:firstLine="349"/>
        <w:spacing w:after="0" w:line="262" w:lineRule="auto"/>
        <w:rPr>
          <w:sz w:val="20"/>
          <w:szCs w:val="20"/>
          <w:color w:val="auto"/>
        </w:rPr>
      </w:pPr>
      <w:r>
        <w:rPr>
          <w:rFonts w:ascii="Times New Roman" w:cs="Times New Roman" w:eastAsia="Times New Roman" w:hAnsi="Times New Roman"/>
          <w:sz w:val="14"/>
          <w:szCs w:val="14"/>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holders of a majority in principal amount of the outstanding debt securities of any series may rescind an acceleration and its consequences, including any related payment default that resulted from the acceleration (Section 6.13).</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91"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96" w:lineRule="exact"/>
        <w:rPr>
          <w:sz w:val="20"/>
          <w:szCs w:val="20"/>
          <w:color w:val="auto"/>
        </w:rPr>
      </w:pPr>
    </w:p>
    <w:p>
      <w:pPr>
        <w:ind w:left="1280" w:right="239" w:firstLine="349"/>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Legal Defeasance. </w:t>
      </w:r>
      <w:r>
        <w:rPr>
          <w:rFonts w:ascii="Times New Roman" w:cs="Times New Roman" w:eastAsia="Times New Roman" w:hAnsi="Times New Roman"/>
          <w:sz w:val="14"/>
          <w:szCs w:val="14"/>
          <w:color w:val="auto"/>
        </w:rPr>
        <w:t>The indenture provides that, unless otherwise provided by the terms of the applicable series of debt securities, we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44" w:lineRule="exact"/>
        <w:rPr>
          <w:sz w:val="20"/>
          <w:szCs w:val="20"/>
          <w:color w:val="auto"/>
        </w:rPr>
      </w:pPr>
    </w:p>
    <w:p>
      <w:pPr>
        <w:ind w:left="1280" w:right="199" w:firstLine="349"/>
        <w:spacing w:after="0" w:line="262"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w:t>
      </w:r>
    </w:p>
    <w:p>
      <w:pPr>
        <w:spacing w:after="0" w:line="143" w:lineRule="exact"/>
        <w:rPr>
          <w:sz w:val="20"/>
          <w:szCs w:val="20"/>
          <w:color w:val="auto"/>
        </w:rPr>
      </w:pPr>
    </w:p>
    <w:p>
      <w:pPr>
        <w:ind w:left="1280" w:right="279" w:firstLine="349"/>
        <w:spacing w:after="0" w:line="294" w:lineRule="auto"/>
        <w:rPr>
          <w:sz w:val="20"/>
          <w:szCs w:val="20"/>
          <w:color w:val="auto"/>
        </w:rPr>
      </w:pPr>
      <w:r>
        <w:rPr>
          <w:rFonts w:ascii="Times New Roman" w:cs="Times New Roman" w:eastAsia="Times New Roman" w:hAnsi="Times New Roman"/>
          <w:sz w:val="14"/>
          <w:szCs w:val="14"/>
          <w:i w:val="1"/>
          <w:iCs w:val="1"/>
          <w:color w:val="auto"/>
        </w:rPr>
        <w:t xml:space="preserve">Defeasance of Certain Covenants. </w:t>
      </w:r>
      <w:r>
        <w:rPr>
          <w:rFonts w:ascii="Times New Roman" w:cs="Times New Roman" w:eastAsia="Times New Roman" w:hAnsi="Times New Roman"/>
          <w:sz w:val="14"/>
          <w:szCs w:val="14"/>
          <w:color w:val="auto"/>
        </w:rPr>
        <w:t>The indenture provides that, unless otherwise provided by the terms of the applicable series of debt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upon compliance with certain conditions:</w:t>
      </w:r>
    </w:p>
    <w:p>
      <w:pPr>
        <w:spacing w:after="0" w:line="47" w:lineRule="exact"/>
        <w:rPr>
          <w:sz w:val="20"/>
          <w:szCs w:val="20"/>
          <w:color w:val="auto"/>
        </w:rPr>
      </w:pPr>
    </w:p>
    <w:p>
      <w:pPr>
        <w:ind w:left="2040" w:right="539" w:hanging="337"/>
        <w:spacing w:after="0" w:line="273" w:lineRule="auto"/>
        <w:tabs>
          <w:tab w:leader="none" w:pos="2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1" w:lineRule="exact"/>
        <w:rPr>
          <w:rFonts w:ascii="Times New Roman" w:cs="Times New Roman" w:eastAsia="Times New Roman" w:hAnsi="Times New Roman"/>
          <w:sz w:val="14"/>
          <w:szCs w:val="14"/>
          <w:color w:val="auto"/>
        </w:rPr>
      </w:pPr>
    </w:p>
    <w:p>
      <w:pPr>
        <w:ind w:left="2040" w:right="219" w:hanging="337"/>
        <w:spacing w:after="0" w:line="291" w:lineRule="auto"/>
        <w:tabs>
          <w:tab w:leader="none" w:pos="2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(“covenant defeasance”).</w:t>
      </w:r>
    </w:p>
    <w:p>
      <w:pPr>
        <w:spacing w:after="0" w:line="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107" w:lineRule="exact"/>
        <w:rPr>
          <w:sz w:val="20"/>
          <w:szCs w:val="20"/>
          <w:color w:val="auto"/>
        </w:rPr>
      </w:pPr>
    </w:p>
    <w:p>
      <w:pPr>
        <w:ind w:left="2040" w:right="219" w:hanging="337"/>
        <w:spacing w:after="0" w:line="262" w:lineRule="auto"/>
        <w:tabs>
          <w:tab w:leader="none" w:pos="20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69" w:lineRule="exact"/>
        <w:rPr>
          <w:rFonts w:ascii="Times New Roman" w:cs="Times New Roman" w:eastAsia="Times New Roman" w:hAnsi="Times New Roman"/>
          <w:sz w:val="14"/>
          <w:szCs w:val="14"/>
          <w:color w:val="auto"/>
        </w:rPr>
      </w:pPr>
    </w:p>
    <w:p>
      <w:pPr>
        <w:ind w:left="2040" w:right="319" w:hanging="337"/>
        <w:spacing w:after="0" w:line="267" w:lineRule="auto"/>
        <w:tabs>
          <w:tab w:leader="none" w:pos="20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(Section 8.4).</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Securityholders</w:t>
      </w:r>
    </w:p>
    <w:p>
      <w:pPr>
        <w:spacing w:after="0" w:line="98" w:lineRule="exact"/>
        <w:rPr>
          <w:sz w:val="20"/>
          <w:szCs w:val="20"/>
          <w:color w:val="auto"/>
        </w:rPr>
      </w:pPr>
    </w:p>
    <w:p>
      <w:pPr>
        <w:ind w:left="1280" w:right="239" w:firstLine="349"/>
        <w:spacing w:after="0" w:line="273"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91"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399"/>
        <w:spacing w:after="0" w:line="291" w:lineRule="auto"/>
        <w:rPr>
          <w:sz w:val="20"/>
          <w:szCs w:val="20"/>
          <w:color w:val="auto"/>
        </w:rPr>
      </w:pPr>
      <w:r>
        <w:rPr>
          <w:rFonts w:ascii="Times New Roman" w:cs="Times New Roman" w:eastAsia="Times New Roman" w:hAnsi="Times New Roman"/>
          <w:sz w:val="14"/>
          <w:szCs w:val="14"/>
          <w:color w:val="auto"/>
        </w:rPr>
        <w:t>However, this waiver and release may not be effective to waive liabilities under U.S. federal securities laws, and it is the view of the SEC that such a waiver is against public policy.</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8" w:lineRule="exact"/>
        <w:rPr>
          <w:sz w:val="20"/>
          <w:szCs w:val="20"/>
          <w:color w:val="auto"/>
        </w:rPr>
      </w:pPr>
    </w:p>
    <w:p>
      <w:pPr>
        <w:ind w:left="1280" w:right="599" w:firstLine="349"/>
        <w:spacing w:after="0" w:line="291" w:lineRule="auto"/>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securities, will be governed by the laws of the State of New York.</w:t>
      </w:r>
    </w:p>
    <w:p>
      <w:pPr>
        <w:spacing w:after="0" w:line="124" w:lineRule="exact"/>
        <w:rPr>
          <w:sz w:val="20"/>
          <w:szCs w:val="20"/>
          <w:color w:val="auto"/>
        </w:rPr>
      </w:pPr>
    </w:p>
    <w:p>
      <w:pPr>
        <w:ind w:left="1280" w:right="219" w:firstLine="349"/>
        <w:spacing w:after="0" w:line="273"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36" w:lineRule="exact"/>
        <w:rPr>
          <w:sz w:val="20"/>
          <w:szCs w:val="20"/>
          <w:color w:val="auto"/>
        </w:rPr>
      </w:pPr>
    </w:p>
    <w:p>
      <w:pPr>
        <w:ind w:left="1280" w:right="199" w:firstLine="349"/>
        <w:spacing w:after="0" w:line="259" w:lineRule="auto"/>
        <w:rPr>
          <w:sz w:val="20"/>
          <w:szCs w:val="20"/>
          <w:color w:val="auto"/>
        </w:rPr>
      </w:pPr>
      <w:r>
        <w:rPr>
          <w:rFonts w:ascii="Times New Roman" w:cs="Times New Roman" w:eastAsia="Times New Roman" w:hAnsi="Times New Roman"/>
          <w:sz w:val="14"/>
          <w:szCs w:val="14"/>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91"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OTHER SECURITIES</w:t>
      </w:r>
    </w:p>
    <w:p>
      <w:pPr>
        <w:spacing w:after="0" w:line="184" w:lineRule="exact"/>
        <w:rPr>
          <w:sz w:val="20"/>
          <w:szCs w:val="20"/>
          <w:color w:val="auto"/>
        </w:rPr>
      </w:pPr>
    </w:p>
    <w:p>
      <w:pPr>
        <w:ind w:left="1280" w:right="279" w:firstLine="349"/>
        <w:spacing w:after="0" w:line="291"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depositary shares or warrants issued by us that may be offered and sold pursuant to this prospectus.</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91"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98" w:lineRule="exact"/>
        <w:rPr>
          <w:sz w:val="20"/>
          <w:szCs w:val="20"/>
          <w:color w:val="auto"/>
        </w:rPr>
      </w:pPr>
    </w:p>
    <w:p>
      <w:pPr>
        <w:ind w:left="1280" w:right="219" w:firstLine="349"/>
        <w:spacing w:after="0" w:line="262" w:lineRule="auto"/>
        <w:rPr>
          <w:sz w:val="20"/>
          <w:szCs w:val="20"/>
          <w:color w:val="auto"/>
        </w:rPr>
      </w:pPr>
      <w:r>
        <w:rPr>
          <w:rFonts w:ascii="Times New Roman" w:cs="Times New Roman" w:eastAsia="Times New Roman" w:hAnsi="Times New Roman"/>
          <w:sz w:val="14"/>
          <w:szCs w:val="14"/>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107" w:lineRule="exact"/>
        <w:rPr>
          <w:sz w:val="20"/>
          <w:szCs w:val="20"/>
          <w:color w:val="auto"/>
        </w:rPr>
      </w:pPr>
    </w:p>
    <w:p>
      <w:pPr>
        <w:ind w:left="2040" w:hanging="337"/>
        <w:spacing w:after="0"/>
        <w:tabs>
          <w:tab w:leader="none" w:pos="2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82" w:lineRule="exact"/>
        <w:rPr>
          <w:sz w:val="20"/>
          <w:szCs w:val="20"/>
          <w:color w:val="auto"/>
        </w:rPr>
      </w:pPr>
    </w:p>
    <w:p>
      <w:pPr>
        <w:ind w:left="1280" w:right="219" w:firstLine="349"/>
        <w:spacing w:after="0" w:line="260"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47" w:lineRule="exact"/>
        <w:rPr>
          <w:sz w:val="20"/>
          <w:szCs w:val="20"/>
          <w:color w:val="auto"/>
        </w:rPr>
      </w:pPr>
    </w:p>
    <w:p>
      <w:pPr>
        <w:ind w:left="1280" w:right="159" w:firstLine="349"/>
        <w:spacing w:after="0" w:line="261" w:lineRule="auto"/>
        <w:rPr>
          <w:sz w:val="20"/>
          <w:szCs w:val="20"/>
          <w:color w:val="auto"/>
        </w:rPr>
      </w:pPr>
      <w:r>
        <w:rPr>
          <w:rFonts w:ascii="Times New Roman" w:cs="Times New Roman" w:eastAsia="Times New Roman" w:hAnsi="Times New Roman"/>
          <w:sz w:val="14"/>
          <w:szCs w:val="14"/>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45" w:lineRule="exact"/>
        <w:rPr>
          <w:sz w:val="20"/>
          <w:szCs w:val="20"/>
          <w:color w:val="auto"/>
        </w:rPr>
      </w:pPr>
    </w:p>
    <w:p>
      <w:pPr>
        <w:ind w:left="1280" w:right="239" w:firstLine="349"/>
        <w:spacing w:after="0" w:line="262" w:lineRule="auto"/>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91"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179" w:firstLine="349"/>
        <w:spacing w:after="0" w:line="267" w:lineRule="auto"/>
        <w:rPr>
          <w:sz w:val="20"/>
          <w:szCs w:val="20"/>
          <w:color w:val="auto"/>
        </w:rPr>
      </w:pPr>
      <w:r>
        <w:rPr>
          <w:rFonts w:ascii="Times New Roman" w:cs="Times New Roman" w:eastAsia="Times New Roman" w:hAnsi="Times New Roman"/>
          <w:sz w:val="14"/>
          <w:szCs w:val="14"/>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40" w:lineRule="exact"/>
        <w:rPr>
          <w:sz w:val="20"/>
          <w:szCs w:val="20"/>
          <w:color w:val="auto"/>
        </w:rPr>
      </w:pPr>
    </w:p>
    <w:p>
      <w:pPr>
        <w:ind w:left="1280" w:right="419" w:firstLine="349"/>
        <w:spacing w:after="0" w:line="273"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36" w:lineRule="exact"/>
        <w:rPr>
          <w:sz w:val="20"/>
          <w:szCs w:val="20"/>
          <w:color w:val="auto"/>
        </w:rPr>
      </w:pPr>
    </w:p>
    <w:p>
      <w:pPr>
        <w:ind w:left="1280" w:right="239" w:firstLine="349"/>
        <w:spacing w:after="0" w:line="291" w:lineRule="auto"/>
        <w:rPr>
          <w:sz w:val="20"/>
          <w:szCs w:val="20"/>
          <w:color w:val="auto"/>
        </w:rPr>
      </w:pPr>
      <w:r>
        <w:rPr>
          <w:rFonts w:ascii="Times New Roman" w:cs="Times New Roman" w:eastAsia="Times New Roman" w:hAnsi="Times New Roman"/>
          <w:sz w:val="14"/>
          <w:szCs w:val="14"/>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24" w:lineRule="exact"/>
        <w:rPr>
          <w:sz w:val="20"/>
          <w:szCs w:val="20"/>
          <w:color w:val="auto"/>
        </w:rPr>
      </w:pPr>
    </w:p>
    <w:p>
      <w:pPr>
        <w:ind w:left="1280" w:right="259" w:firstLine="349"/>
        <w:spacing w:after="0" w:line="267" w:lineRule="auto"/>
        <w:rPr>
          <w:sz w:val="20"/>
          <w:szCs w:val="20"/>
          <w:color w:val="auto"/>
        </w:rPr>
      </w:pPr>
      <w:r>
        <w:rPr>
          <w:rFonts w:ascii="Times New Roman" w:cs="Times New Roman" w:eastAsia="Times New Roman" w:hAnsi="Times New Roman"/>
          <w:sz w:val="14"/>
          <w:szCs w:val="14"/>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0" w:lineRule="exact"/>
        <w:rPr>
          <w:sz w:val="20"/>
          <w:szCs w:val="20"/>
          <w:color w:val="auto"/>
        </w:rPr>
      </w:pPr>
    </w:p>
    <w:p>
      <w:pPr>
        <w:ind w:left="1280" w:right="199" w:firstLine="349"/>
        <w:spacing w:after="0" w:line="262" w:lineRule="auto"/>
        <w:rPr>
          <w:sz w:val="20"/>
          <w:szCs w:val="20"/>
          <w:color w:val="auto"/>
        </w:rPr>
      </w:pPr>
      <w:r>
        <w:rPr>
          <w:rFonts w:ascii="Times New Roman" w:cs="Times New Roman" w:eastAsia="Times New Roman" w:hAnsi="Times New Roman"/>
          <w:sz w:val="14"/>
          <w:szCs w:val="14"/>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45" w:lineRule="exact"/>
        <w:rPr>
          <w:sz w:val="20"/>
          <w:szCs w:val="20"/>
          <w:color w:val="auto"/>
        </w:rPr>
      </w:pPr>
    </w:p>
    <w:p>
      <w:pPr>
        <w:ind w:left="1280" w:right="159" w:firstLine="349"/>
        <w:spacing w:after="0" w:line="260" w:lineRule="auto"/>
        <w:rPr>
          <w:sz w:val="20"/>
          <w:szCs w:val="20"/>
          <w:color w:val="auto"/>
        </w:rPr>
      </w:pPr>
      <w:r>
        <w:rPr>
          <w:rFonts w:ascii="Times New Roman" w:cs="Times New Roman" w:eastAsia="Times New Roman" w:hAnsi="Times New Roman"/>
          <w:sz w:val="14"/>
          <w:szCs w:val="14"/>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47" w:lineRule="exact"/>
        <w:rPr>
          <w:sz w:val="20"/>
          <w:szCs w:val="20"/>
          <w:color w:val="auto"/>
        </w:rPr>
      </w:pPr>
    </w:p>
    <w:p>
      <w:pPr>
        <w:ind w:left="1280" w:right="339" w:firstLine="349"/>
        <w:spacing w:after="0" w:line="273" w:lineRule="auto"/>
        <w:rPr>
          <w:sz w:val="20"/>
          <w:szCs w:val="20"/>
          <w:color w:val="auto"/>
        </w:rPr>
      </w:pPr>
      <w:r>
        <w:rPr>
          <w:rFonts w:ascii="Times New Roman" w:cs="Times New Roman" w:eastAsia="Times New Roman" w:hAnsi="Times New Roman"/>
          <w:sz w:val="14"/>
          <w:szCs w:val="14"/>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36" w:lineRule="exact"/>
        <w:rPr>
          <w:sz w:val="20"/>
          <w:szCs w:val="20"/>
          <w:color w:val="auto"/>
        </w:rPr>
      </w:pPr>
    </w:p>
    <w:p>
      <w:pPr>
        <w:ind w:left="1280" w:right="319" w:firstLine="349"/>
        <w:spacing w:after="0" w:line="291" w:lineRule="auto"/>
        <w:rPr>
          <w:sz w:val="20"/>
          <w:szCs w:val="20"/>
          <w:color w:val="auto"/>
        </w:rPr>
      </w:pPr>
      <w:r>
        <w:rPr>
          <w:rFonts w:ascii="Times New Roman" w:cs="Times New Roman" w:eastAsia="Times New Roman" w:hAnsi="Times New Roman"/>
          <w:sz w:val="14"/>
          <w:szCs w:val="14"/>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DTC may discontinue providing its services as securities depositary with respect to the securities at any time by giving reasonable notice to us.</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Under such circumstances, in the event that a successor depositary is not obtained, securities certificates are required to be printed and delivered.</w:t>
      </w:r>
    </w:p>
    <w:p>
      <w:pPr>
        <w:spacing w:after="0" w:line="1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91"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159" w:firstLine="349"/>
        <w:spacing w:after="0" w:line="291" w:lineRule="auto"/>
        <w:rPr>
          <w:sz w:val="20"/>
          <w:szCs w:val="20"/>
          <w:color w:val="auto"/>
        </w:rPr>
      </w:pPr>
      <w:r>
        <w:rPr>
          <w:rFonts w:ascii="Times New Roman" w:cs="Times New Roman" w:eastAsia="Times New Roman" w:hAnsi="Times New Roman"/>
          <w:sz w:val="14"/>
          <w:szCs w:val="14"/>
          <w:color w:val="auto"/>
        </w:rPr>
        <w:t>As noted above, beneficial owners of a particular series of securities generally will not receive certificates representing their ownership interests in those securities. However, if:</w:t>
      </w:r>
    </w:p>
    <w:p>
      <w:pPr>
        <w:spacing w:after="0" w:line="49" w:lineRule="exact"/>
        <w:rPr>
          <w:sz w:val="20"/>
          <w:szCs w:val="20"/>
          <w:color w:val="auto"/>
        </w:rPr>
      </w:pPr>
    </w:p>
    <w:p>
      <w:pPr>
        <w:ind w:left="2040" w:right="299" w:hanging="337"/>
        <w:spacing w:after="0" w:line="267" w:lineRule="auto"/>
        <w:tabs>
          <w:tab w:leader="none" w:pos="2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65"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such securities represented by one or more global securities; or</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has occurred and is continuing with respect to such series of securities,</w:t>
      </w:r>
    </w:p>
    <w:p>
      <w:pPr>
        <w:spacing w:after="0" w:line="182" w:lineRule="exact"/>
        <w:rPr>
          <w:sz w:val="20"/>
          <w:szCs w:val="20"/>
          <w:color w:val="auto"/>
        </w:rPr>
      </w:pPr>
    </w:p>
    <w:p>
      <w:pPr>
        <w:ind w:left="1280" w:right="179"/>
        <w:spacing w:after="0" w:line="267" w:lineRule="auto"/>
        <w:rPr>
          <w:sz w:val="20"/>
          <w:szCs w:val="20"/>
          <w:color w:val="auto"/>
        </w:rPr>
      </w:pPr>
      <w:r>
        <w:rPr>
          <w:rFonts w:ascii="Times New Roman" w:cs="Times New Roman" w:eastAsia="Times New Roman" w:hAnsi="Times New Roman"/>
          <w:sz w:val="14"/>
          <w:szCs w:val="14"/>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i w:val="1"/>
          <w:iCs w:val="1"/>
          <w:color w:val="auto"/>
        </w:rPr>
        <w:t>Euroclear and Clearstream</w:t>
      </w:r>
    </w:p>
    <w:p>
      <w:pPr>
        <w:spacing w:after="0" w:line="100" w:lineRule="exact"/>
        <w:rPr>
          <w:sz w:val="20"/>
          <w:szCs w:val="20"/>
          <w:color w:val="auto"/>
        </w:rPr>
      </w:pPr>
    </w:p>
    <w:p>
      <w:pPr>
        <w:ind w:left="1280" w:right="179" w:firstLine="349"/>
        <w:spacing w:after="0" w:line="264" w:lineRule="auto"/>
        <w:rPr>
          <w:sz w:val="20"/>
          <w:szCs w:val="20"/>
          <w:color w:val="auto"/>
        </w:rPr>
      </w:pPr>
      <w:r>
        <w:rPr>
          <w:rFonts w:ascii="Times New Roman" w:cs="Times New Roman" w:eastAsia="Times New Roman" w:hAnsi="Times New Roman"/>
          <w:sz w:val="14"/>
          <w:szCs w:val="14"/>
          <w:color w:val="auto"/>
        </w:rPr>
        <w:t>If so provided in the applicable prospectus supplement,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43" w:lineRule="exact"/>
        <w:rPr>
          <w:sz w:val="20"/>
          <w:szCs w:val="20"/>
          <w:color w:val="auto"/>
        </w:rPr>
      </w:pPr>
    </w:p>
    <w:p>
      <w:pPr>
        <w:jc w:val="both"/>
        <w:ind w:left="1280" w:right="239" w:firstLine="349"/>
        <w:spacing w:after="0" w:line="273" w:lineRule="auto"/>
        <w:rPr>
          <w:sz w:val="20"/>
          <w:szCs w:val="20"/>
          <w:color w:val="auto"/>
        </w:rPr>
      </w:pPr>
      <w:r>
        <w:rPr>
          <w:rFonts w:ascii="Times New Roman" w:cs="Times New Roman" w:eastAsia="Times New Roman" w:hAnsi="Times New Roman"/>
          <w:sz w:val="14"/>
          <w:szCs w:val="14"/>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36" w:lineRule="exact"/>
        <w:rPr>
          <w:sz w:val="20"/>
          <w:szCs w:val="20"/>
          <w:color w:val="auto"/>
        </w:rPr>
      </w:pPr>
    </w:p>
    <w:p>
      <w:pPr>
        <w:ind w:left="1280" w:right="299" w:firstLine="349"/>
        <w:spacing w:after="0" w:line="273" w:lineRule="auto"/>
        <w:rPr>
          <w:sz w:val="20"/>
          <w:szCs w:val="20"/>
          <w:color w:val="auto"/>
        </w:rPr>
      </w:pPr>
      <w:r>
        <w:rPr>
          <w:rFonts w:ascii="Times New Roman" w:cs="Times New Roman" w:eastAsia="Times New Roman" w:hAnsi="Times New Roman"/>
          <w:sz w:val="14"/>
          <w:szCs w:val="14"/>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36" w:lineRule="exact"/>
        <w:rPr>
          <w:sz w:val="20"/>
          <w:szCs w:val="20"/>
          <w:color w:val="auto"/>
        </w:rPr>
      </w:pPr>
    </w:p>
    <w:p>
      <w:pPr>
        <w:ind w:left="1280" w:right="199" w:firstLine="349"/>
        <w:spacing w:after="0" w:line="273" w:lineRule="auto"/>
        <w:rPr>
          <w:sz w:val="20"/>
          <w:szCs w:val="20"/>
          <w:color w:val="auto"/>
        </w:rPr>
      </w:pPr>
      <w:r>
        <w:rPr>
          <w:rFonts w:ascii="Times New Roman" w:cs="Times New Roman" w:eastAsia="Times New Roman" w:hAnsi="Times New Roman"/>
          <w:sz w:val="14"/>
          <w:szCs w:val="14"/>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36" w:lineRule="exact"/>
        <w:rPr>
          <w:sz w:val="20"/>
          <w:szCs w:val="20"/>
          <w:color w:val="auto"/>
        </w:rPr>
      </w:pPr>
    </w:p>
    <w:p>
      <w:pPr>
        <w:ind w:left="1280" w:right="179" w:firstLine="349"/>
        <w:spacing w:after="0" w:line="262" w:lineRule="auto"/>
        <w:rPr>
          <w:sz w:val="20"/>
          <w:szCs w:val="20"/>
          <w:color w:val="auto"/>
        </w:rPr>
      </w:pPr>
      <w:r>
        <w:rPr>
          <w:rFonts w:ascii="Times New Roman" w:cs="Times New Roman" w:eastAsia="Times New Roman" w:hAnsi="Times New Roman"/>
          <w:sz w:val="14"/>
          <w:szCs w:val="14"/>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9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479"/>
        <w:spacing w:after="0" w:line="291" w:lineRule="auto"/>
        <w:rPr>
          <w:sz w:val="20"/>
          <w:szCs w:val="20"/>
          <w:color w:val="auto"/>
        </w:rPr>
      </w:pPr>
      <w:r>
        <w:rPr>
          <w:rFonts w:ascii="Times New Roman" w:cs="Times New Roman" w:eastAsia="Times New Roman" w:hAnsi="Times New Roman"/>
          <w:sz w:val="14"/>
          <w:szCs w:val="14"/>
          <w:color w:val="auto"/>
        </w:rPr>
        <w:t>payment in accordance with normal procedures for same-day fund settlement. Participants in Euroclear or Clearstream may not deliver instructions directly to their respective U.S. depositaries.</w:t>
      </w:r>
    </w:p>
    <w:p>
      <w:pPr>
        <w:spacing w:after="0" w:line="124" w:lineRule="exact"/>
        <w:rPr>
          <w:sz w:val="20"/>
          <w:szCs w:val="20"/>
          <w:color w:val="auto"/>
        </w:rPr>
      </w:pPr>
    </w:p>
    <w:p>
      <w:pPr>
        <w:ind w:left="1280" w:right="179" w:firstLine="349"/>
        <w:spacing w:after="0" w:line="262" w:lineRule="auto"/>
        <w:rPr>
          <w:sz w:val="20"/>
          <w:szCs w:val="20"/>
          <w:color w:val="auto"/>
        </w:rPr>
      </w:pPr>
      <w:r>
        <w:rPr>
          <w:rFonts w:ascii="Times New Roman" w:cs="Times New Roman" w:eastAsia="Times New Roman" w:hAnsi="Times New Roman"/>
          <w:sz w:val="14"/>
          <w:szCs w:val="14"/>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00" w:lineRule="exact"/>
        <w:rPr>
          <w:sz w:val="20"/>
          <w:szCs w:val="20"/>
          <w:color w:val="auto"/>
        </w:rPr>
      </w:pPr>
    </w:p>
    <w:p>
      <w:pPr>
        <w:ind w:left="1280" w:right="199" w:firstLine="349"/>
        <w:spacing w:after="0" w:line="259" w:lineRule="auto"/>
        <w:rPr>
          <w:sz w:val="20"/>
          <w:szCs w:val="20"/>
          <w:color w:val="auto"/>
        </w:rPr>
      </w:pPr>
      <w:r>
        <w:rPr>
          <w:rFonts w:ascii="Times New Roman" w:cs="Times New Roman" w:eastAsia="Times New Roman" w:hAnsi="Times New Roman"/>
          <w:sz w:val="14"/>
          <w:szCs w:val="14"/>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91"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84" w:lineRule="exact"/>
        <w:rPr>
          <w:sz w:val="20"/>
          <w:szCs w:val="20"/>
          <w:color w:val="auto"/>
        </w:rPr>
      </w:pPr>
    </w:p>
    <w:p>
      <w:pPr>
        <w:ind w:left="1280" w:right="479" w:firstLine="349"/>
        <w:spacing w:after="0" w:line="291" w:lineRule="auto"/>
        <w:rPr>
          <w:sz w:val="20"/>
          <w:szCs w:val="20"/>
          <w:color w:val="auto"/>
        </w:rPr>
      </w:pPr>
      <w:r>
        <w:rPr>
          <w:rFonts w:ascii="Times New Roman" w:cs="Times New Roman" w:eastAsia="Times New Roman" w:hAnsi="Times New Roman"/>
          <w:sz w:val="14"/>
          <w:szCs w:val="14"/>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9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We or any of the selling securityholders may sell the offered securities from time to time:</w:t>
      </w:r>
    </w:p>
    <w:p>
      <w:pPr>
        <w:spacing w:after="0" w:line="107" w:lineRule="exact"/>
        <w:rPr>
          <w:sz w:val="20"/>
          <w:szCs w:val="20"/>
          <w:color w:val="auto"/>
        </w:rPr>
      </w:pPr>
    </w:p>
    <w:p>
      <w:pPr>
        <w:ind w:left="2040" w:hanging="337"/>
        <w:spacing w:after="0"/>
        <w:tabs>
          <w:tab w:leader="none" w:pos="2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or</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82" w:lineRule="exact"/>
        <w:rPr>
          <w:sz w:val="20"/>
          <w:szCs w:val="20"/>
          <w:color w:val="auto"/>
        </w:rPr>
      </w:pPr>
    </w:p>
    <w:p>
      <w:pPr>
        <w:ind w:left="1280" w:right="379" w:firstLine="349"/>
        <w:spacing w:after="0" w:line="291"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the applicable prospectus supplement.</w:t>
      </w:r>
    </w:p>
    <w:p>
      <w:pPr>
        <w:spacing w:after="0" w:line="2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4" w:lineRule="exact"/>
        <w:rPr>
          <w:sz w:val="20"/>
          <w:szCs w:val="20"/>
          <w:color w:val="auto"/>
        </w:rPr>
      </w:pPr>
    </w:p>
    <w:p>
      <w:pPr>
        <w:jc w:val="both"/>
        <w:ind w:left="1280" w:right="299" w:firstLine="349"/>
        <w:spacing w:after="0" w:line="273" w:lineRule="auto"/>
        <w:rPr>
          <w:sz w:val="20"/>
          <w:szCs w:val="20"/>
          <w:color w:val="auto"/>
        </w:rPr>
      </w:pPr>
      <w:r>
        <w:rPr>
          <w:rFonts w:ascii="Times New Roman" w:cs="Times New Roman" w:eastAsia="Times New Roman" w:hAnsi="Times New Roman"/>
          <w:sz w:val="14"/>
          <w:szCs w:val="14"/>
          <w:color w:val="auto"/>
        </w:rPr>
        <w:t>Latham &amp; Watkins LLP will pass upon certain legal matters relating to the issuance and sale of the securities offered hereby on behalf of Viasat. Additional legal matters may be passed upon for us, the selling securityholders or any underwriters, dealers or agents, by counsel that we will name in the applicable prospectus supplement.</w:t>
      </w:r>
    </w:p>
    <w:p>
      <w:pPr>
        <w:spacing w:after="0" w:line="30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4" w:lineRule="exact"/>
        <w:rPr>
          <w:sz w:val="20"/>
          <w:szCs w:val="20"/>
          <w:color w:val="auto"/>
        </w:rPr>
      </w:pPr>
    </w:p>
    <w:p>
      <w:pPr>
        <w:ind w:left="1280" w:right="159" w:firstLine="349"/>
        <w:spacing w:after="0" w:line="267"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March 31, 2026 have been so incorporated in reliance on the report of PricewaterhouseCoopers LLP, an independent registered public accounting firm, given on the authority of said firm as experts in auditing and accounting.</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91"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 xml:space="preserve">Item 14. </w:t>
      </w:r>
      <w:r>
        <w:rPr>
          <w:rFonts w:ascii="Times New Roman" w:cs="Times New Roman" w:eastAsia="Times New Roman" w:hAnsi="Times New Roman"/>
          <w:sz w:val="14"/>
          <w:szCs w:val="14"/>
          <w:b w:val="1"/>
          <w:bCs w:val="1"/>
          <w:i w:val="1"/>
          <w:iCs w:val="1"/>
          <w:color w:val="auto"/>
        </w:rPr>
        <w:t>Other Expenses of Issuance and Distribution</w:t>
      </w:r>
    </w:p>
    <w:p>
      <w:pPr>
        <w:spacing w:after="0" w:line="100" w:lineRule="exact"/>
        <w:rPr>
          <w:sz w:val="20"/>
          <w:szCs w:val="20"/>
          <w:color w:val="auto"/>
        </w:rPr>
      </w:pPr>
    </w:p>
    <w:p>
      <w:pPr>
        <w:ind w:left="1280" w:right="459" w:firstLine="349"/>
        <w:spacing w:after="0" w:line="291" w:lineRule="auto"/>
        <w:rPr>
          <w:sz w:val="20"/>
          <w:szCs w:val="20"/>
          <w:color w:val="auto"/>
        </w:rPr>
      </w:pPr>
      <w:r>
        <w:rPr>
          <w:rFonts w:ascii="Times New Roman" w:cs="Times New Roman" w:eastAsia="Times New Roman" w:hAnsi="Times New Roman"/>
          <w:sz w:val="14"/>
          <w:szCs w:val="14"/>
          <w:color w:val="auto"/>
        </w:rPr>
        <w:t>The following is an estimate of the expenses (all of which are to be paid by the registrant) that we may incur in connection with the securities being registered hereby:</w:t>
      </w:r>
    </w:p>
    <w:p>
      <w:pPr>
        <w:spacing w:after="0" w:line="160" w:lineRule="exact"/>
        <w:rPr>
          <w:sz w:val="20"/>
          <w:szCs w:val="20"/>
          <w:color w:val="auto"/>
        </w:rPr>
      </w:pPr>
    </w:p>
    <w:tbl>
      <w:tblPr>
        <w:tblLayout w:type="fixed"/>
        <w:tblInd w:w="2680" w:type="dxa"/>
        <w:tblCellMar>
          <w:top w:w="0" w:type="dxa"/>
          <w:left w:w="0" w:type="dxa"/>
          <w:bottom w:w="0" w:type="dxa"/>
          <w:right w:w="0" w:type="dxa"/>
        </w:tblCellMar>
      </w:tblPr>
      <w:tr>
        <w:trPr>
          <w:trHeight w:val="17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5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15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5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Blue Sky, qualification fees and expenses</w:t>
            </w:r>
          </w:p>
        </w:tc>
        <w:tc>
          <w:tcPr>
            <w:tcW w:w="15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fees and expenses</w:t>
            </w: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Trustee fees and expenses</w:t>
            </w:r>
          </w:p>
        </w:tc>
        <w:tc>
          <w:tcPr>
            <w:tcW w:w="15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Depositary fees and expenses</w:t>
            </w: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Warrant agent fees and expenses</w:t>
            </w:r>
          </w:p>
        </w:tc>
        <w:tc>
          <w:tcPr>
            <w:tcW w:w="15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(1)(2)</w:t>
            </w:r>
          </w:p>
        </w:tc>
      </w:tr>
      <w:tr>
        <w:trPr>
          <w:trHeight w:val="185"/>
        </w:trPr>
        <w:tc>
          <w:tcPr>
            <w:tcW w:w="3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80" w:type="dxa"/>
            <w:vAlign w:val="bottom"/>
          </w:tcPr>
          <w:p>
            <w:pPr>
              <w:spacing w:after="0"/>
              <w:rPr>
                <w:sz w:val="16"/>
                <w:szCs w:val="16"/>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59055</wp:posOffset>
            </wp:positionV>
            <wp:extent cx="60515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05155" cy="6985"/>
                    </a:xfrm>
                    <a:prstGeom prst="rect">
                      <a:avLst/>
                    </a:prstGeom>
                    <a:noFill/>
                  </pic:spPr>
                </pic:pic>
              </a:graphicData>
            </a:graphic>
          </wp:anchor>
        </w:drawing>
      </w:r>
    </w:p>
    <w:p>
      <w:pPr>
        <w:spacing w:after="0" w:line="101" w:lineRule="exact"/>
        <w:rPr>
          <w:sz w:val="20"/>
          <w:szCs w:val="20"/>
          <w:color w:val="auto"/>
        </w:rPr>
      </w:pPr>
    </w:p>
    <w:p>
      <w:pPr>
        <w:ind w:left="1620" w:right="659" w:hanging="345"/>
        <w:spacing w:after="0" w:line="265" w:lineRule="auto"/>
        <w:tabs>
          <w:tab w:leader="none" w:pos="1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the SEC registration fee will be paid at the time of any particular offering of securities under the registration statement, and is therefore not currently determinable.</w:t>
      </w:r>
    </w:p>
    <w:p>
      <w:pPr>
        <w:spacing w:after="0" w:line="1" w:lineRule="exact"/>
        <w:rPr>
          <w:rFonts w:ascii="Times New Roman" w:cs="Times New Roman" w:eastAsia="Times New Roman" w:hAnsi="Times New Roman"/>
          <w:sz w:val="14"/>
          <w:szCs w:val="14"/>
          <w:color w:val="auto"/>
        </w:rPr>
      </w:pPr>
    </w:p>
    <w:p>
      <w:pPr>
        <w:ind w:left="1620" w:hanging="345"/>
        <w:spacing w:after="0"/>
        <w:tabs>
          <w:tab w:leader="none" w:pos="1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Indemnification of Directors and Officers</w:t>
      </w:r>
    </w:p>
    <w:p>
      <w:pPr>
        <w:spacing w:after="0" w:line="100" w:lineRule="exact"/>
        <w:rPr>
          <w:sz w:val="20"/>
          <w:szCs w:val="20"/>
          <w:color w:val="auto"/>
        </w:rPr>
      </w:pPr>
    </w:p>
    <w:p>
      <w:pPr>
        <w:ind w:left="1280" w:right="219" w:firstLine="349"/>
        <w:spacing w:after="0" w:line="260" w:lineRule="auto"/>
        <w:rPr>
          <w:sz w:val="20"/>
          <w:szCs w:val="20"/>
          <w:color w:val="auto"/>
        </w:rPr>
      </w:pPr>
      <w:r>
        <w:rPr>
          <w:rFonts w:ascii="Times New Roman" w:cs="Times New Roman" w:eastAsia="Times New Roman" w:hAnsi="Times New Roman"/>
          <w:sz w:val="14"/>
          <w:szCs w:val="14"/>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47" w:lineRule="exact"/>
        <w:rPr>
          <w:sz w:val="20"/>
          <w:szCs w:val="20"/>
          <w:color w:val="auto"/>
        </w:rPr>
      </w:pPr>
    </w:p>
    <w:p>
      <w:pPr>
        <w:ind w:left="1280" w:right="219" w:firstLine="349"/>
        <w:spacing w:after="0" w:line="260" w:lineRule="auto"/>
        <w:rPr>
          <w:sz w:val="20"/>
          <w:szCs w:val="20"/>
          <w:color w:val="auto"/>
        </w:rPr>
      </w:pPr>
      <w:r>
        <w:rPr>
          <w:rFonts w:ascii="Times New Roman" w:cs="Times New Roman" w:eastAsia="Times New Roman" w:hAnsi="Times New Roman"/>
          <w:sz w:val="14"/>
          <w:szCs w:val="14"/>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9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139" w:firstLine="349"/>
        <w:spacing w:after="0" w:line="259" w:lineRule="auto"/>
        <w:rPr>
          <w:sz w:val="20"/>
          <w:szCs w:val="20"/>
          <w:color w:val="auto"/>
        </w:rPr>
      </w:pPr>
      <w:r>
        <w:rPr>
          <w:rFonts w:ascii="Times New Roman" w:cs="Times New Roman" w:eastAsia="Times New Roman" w:hAnsi="Times New Roman"/>
          <w:sz w:val="14"/>
          <w:szCs w:val="14"/>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47" w:lineRule="exact"/>
        <w:rPr>
          <w:sz w:val="20"/>
          <w:szCs w:val="20"/>
          <w:color w:val="auto"/>
        </w:rPr>
      </w:pPr>
    </w:p>
    <w:p>
      <w:pPr>
        <w:ind w:left="1280" w:right="279" w:firstLine="349"/>
        <w:spacing w:after="0" w:line="262" w:lineRule="auto"/>
        <w:rPr>
          <w:sz w:val="20"/>
          <w:szCs w:val="20"/>
          <w:color w:val="auto"/>
        </w:rPr>
      </w:pPr>
      <w:r>
        <w:rPr>
          <w:rFonts w:ascii="Times New Roman" w:cs="Times New Roman" w:eastAsia="Times New Roman" w:hAnsi="Times New Roman"/>
          <w:sz w:val="14"/>
          <w:szCs w:val="14"/>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w:t>
      </w:r>
    </w:p>
    <w:p>
      <w:pPr>
        <w:spacing w:after="0" w:line="1" w:lineRule="exact"/>
        <w:rPr>
          <w:sz w:val="20"/>
          <w:szCs w:val="20"/>
          <w:color w:val="auto"/>
        </w:rPr>
      </w:pPr>
    </w:p>
    <w:p>
      <w:pPr>
        <w:ind w:left="1280" w:right="259" w:hanging="5"/>
        <w:spacing w:after="0" w:line="270" w:lineRule="auto"/>
        <w:tabs>
          <w:tab w:leader="none" w:pos="149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not in good faith or which involve intentional misconduct or a knowing violation of law, (iii) under Section 174 of the DGCL, or (iv) for any transaction from which the director derived an improper personal benefit.</w:t>
      </w:r>
    </w:p>
    <w:p>
      <w:pPr>
        <w:spacing w:after="0" w:line="138" w:lineRule="exact"/>
        <w:rPr>
          <w:sz w:val="20"/>
          <w:szCs w:val="20"/>
          <w:color w:val="auto"/>
        </w:rPr>
      </w:pPr>
    </w:p>
    <w:p>
      <w:pPr>
        <w:ind w:left="1280" w:right="259" w:firstLine="349"/>
        <w:spacing w:after="0" w:line="267" w:lineRule="auto"/>
        <w:rPr>
          <w:sz w:val="20"/>
          <w:szCs w:val="20"/>
          <w:color w:val="auto"/>
        </w:rPr>
      </w:pPr>
      <w:r>
        <w:rPr>
          <w:rFonts w:ascii="Times New Roman" w:cs="Times New Roman" w:eastAsia="Times New Roman" w:hAnsi="Times New Roman"/>
          <w:sz w:val="14"/>
          <w:szCs w:val="14"/>
          <w:color w:val="auto"/>
        </w:rPr>
        <w:t>Our certificate of incorporation limits the liability of our directors to Viasat or its stockholders (in their capacity as directors but not in their capacity as officers) to the fullest extent permitted by the DGCL. Specifically, our directors will not be personally liable for monetary damages for breach of a director’s fiduciary duty as director, notwithstanding any provision of law imposing such liability, except to the extent that DGCL prohibits the elimination or limitation of liability of directors for breaches of fiduciary duty.</w:t>
      </w:r>
    </w:p>
    <w:p>
      <w:pPr>
        <w:spacing w:after="0" w:line="140" w:lineRule="exact"/>
        <w:rPr>
          <w:sz w:val="20"/>
          <w:szCs w:val="20"/>
          <w:color w:val="auto"/>
        </w:rPr>
      </w:pPr>
    </w:p>
    <w:p>
      <w:pPr>
        <w:ind w:left="1280" w:right="159" w:firstLine="349"/>
        <w:spacing w:after="0" w:line="273" w:lineRule="auto"/>
        <w:rPr>
          <w:sz w:val="20"/>
          <w:szCs w:val="20"/>
          <w:color w:val="auto"/>
        </w:rPr>
      </w:pPr>
      <w:r>
        <w:rPr>
          <w:rFonts w:ascii="Times New Roman" w:cs="Times New Roman" w:eastAsia="Times New Roman" w:hAnsi="Times New Roman"/>
          <w:sz w:val="14"/>
          <w:szCs w:val="14"/>
          <w:color w:val="auto"/>
        </w:rPr>
        <w:t>Our bylaws generally provide for mandatory indemnification of our directors and officers to the full extent provided by the DGCL. In addition, we have entered into indemnification agreements with our directors and officers that generally provide for mandatory indemnification under circumstances for which indemnification would otherwise be discretionary under Delaware law.</w:t>
      </w:r>
    </w:p>
    <w:p>
      <w:pPr>
        <w:spacing w:after="0" w:line="136" w:lineRule="exact"/>
        <w:rPr>
          <w:sz w:val="20"/>
          <w:szCs w:val="20"/>
          <w:color w:val="auto"/>
        </w:rPr>
      </w:pPr>
    </w:p>
    <w:p>
      <w:pPr>
        <w:ind w:left="1280" w:right="299" w:firstLine="349"/>
        <w:spacing w:after="0" w:line="267" w:lineRule="auto"/>
        <w:rPr>
          <w:sz w:val="20"/>
          <w:szCs w:val="20"/>
          <w:color w:val="auto"/>
        </w:rPr>
      </w:pPr>
      <w:r>
        <w:rPr>
          <w:rFonts w:ascii="Times New Roman" w:cs="Times New Roman" w:eastAsia="Times New Roman" w:hAnsi="Times New Roman"/>
          <w:sz w:val="14"/>
          <w:szCs w:val="14"/>
          <w:color w:val="auto"/>
        </w:rPr>
        <w:t>We maintain insurance on behalf of any person who is or was a director or officer of Viasat, or is or was a director or officer of Viasat serving at the request of Viasat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Viasat would have the power or obligation to indemnify such person against such liability under the provisions of the bylaws.</w:t>
      </w:r>
    </w:p>
    <w:p>
      <w:pPr>
        <w:spacing w:after="0" w:line="140" w:lineRule="exact"/>
        <w:rPr>
          <w:sz w:val="20"/>
          <w:szCs w:val="20"/>
          <w:color w:val="auto"/>
        </w:rPr>
      </w:pPr>
    </w:p>
    <w:p>
      <w:pPr>
        <w:ind w:left="1280" w:right="339" w:firstLine="349"/>
        <w:spacing w:after="0" w:line="273" w:lineRule="auto"/>
        <w:rPr>
          <w:sz w:val="20"/>
          <w:szCs w:val="20"/>
          <w:color w:val="auto"/>
        </w:rPr>
      </w:pPr>
      <w:r>
        <w:rPr>
          <w:rFonts w:ascii="Times New Roman" w:cs="Times New Roman" w:eastAsia="Times New Roman" w:hAnsi="Times New Roman"/>
          <w:sz w:val="14"/>
          <w:szCs w:val="14"/>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our controlling persons, if any, for specified liabilities, which may include liabilities under the Securities Act.</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91"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5"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Exhibits</w:t>
      </w:r>
    </w:p>
    <w:p>
      <w:pPr>
        <w:sectPr>
          <w:pgSz w:w="11900" w:h="16838" w:orient="portrait"/>
          <w:cols w:equalWidth="0" w:num="1">
            <w:col w:w="10159"/>
          </w:cols>
          <w:pgMar w:left="300" w:top="391" w:right="1440" w:bottom="1440" w:gutter="0" w:footer="0" w:header="0"/>
        </w:sectPr>
      </w:pPr>
    </w:p>
    <w:p>
      <w:pPr>
        <w:spacing w:after="0" w:line="194" w:lineRule="exact"/>
        <w:rPr>
          <w:sz w:val="20"/>
          <w:szCs w:val="20"/>
          <w:color w:val="auto"/>
        </w:rPr>
      </w:pPr>
    </w:p>
    <w:tbl>
      <w:tblPr>
        <w:tblLayout w:type="fixed"/>
        <w:tblInd w:w="1280" w:type="dxa"/>
        <w:tblCellMar>
          <w:top w:w="0" w:type="dxa"/>
          <w:left w:w="0" w:type="dxa"/>
          <w:bottom w:w="0" w:type="dxa"/>
          <w:right w:w="0" w:type="dxa"/>
        </w:tblCellMar>
      </w:tblPr>
      <w:tr>
        <w:trPr>
          <w:trHeight w:val="137"/>
        </w:trPr>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r>
      <w:tr>
        <w:trPr>
          <w:trHeight w:val="109"/>
        </w:trPr>
        <w:tc>
          <w:tcPr>
            <w:tcW w:w="400" w:type="dxa"/>
            <w:vAlign w:val="bottom"/>
            <w:tcBorders>
              <w:bottom w:val="single" w:sz="8" w:color="auto"/>
            </w:tcBorders>
          </w:tcPr>
          <w:p>
            <w:pPr>
              <w:spacing w:after="0" w:line="107"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300" w:type="dxa"/>
            <w:vAlign w:val="bottom"/>
          </w:tcPr>
          <w:p>
            <w:pPr>
              <w:spacing w:after="0"/>
              <w:rPr>
                <w:sz w:val="9"/>
                <w:szCs w:val="9"/>
                <w:color w:val="auto"/>
              </w:rPr>
            </w:pPr>
          </w:p>
        </w:tc>
        <w:tc>
          <w:tcPr>
            <w:tcW w:w="4020" w:type="dxa"/>
            <w:vAlign w:val="bottom"/>
            <w:tcBorders>
              <w:bottom w:val="single" w:sz="8" w:color="auto"/>
            </w:tcBorders>
          </w:tcPr>
          <w:p>
            <w:pPr>
              <w:ind w:left="1520"/>
              <w:spacing w:after="0" w:line="107" w:lineRule="exact"/>
              <w:rPr>
                <w:sz w:val="20"/>
                <w:szCs w:val="20"/>
                <w:color w:val="auto"/>
              </w:rPr>
            </w:pPr>
            <w:r>
              <w:rPr>
                <w:rFonts w:ascii="Times New Roman" w:cs="Times New Roman" w:eastAsia="Times New Roman" w:hAnsi="Times New Roman"/>
                <w:sz w:val="11"/>
                <w:szCs w:val="11"/>
                <w:b w:val="1"/>
                <w:bCs w:val="1"/>
                <w:color w:val="auto"/>
              </w:rPr>
              <w:t>Exhibit Description</w:t>
            </w:r>
          </w:p>
        </w:tc>
        <w:tc>
          <w:tcPr>
            <w:tcW w:w="160" w:type="dxa"/>
            <w:vAlign w:val="bottom"/>
          </w:tcPr>
          <w:p>
            <w:pPr>
              <w:spacing w:after="0"/>
              <w:rPr>
                <w:sz w:val="9"/>
                <w:szCs w:val="9"/>
                <w:color w:val="auto"/>
              </w:rPr>
            </w:pPr>
          </w:p>
        </w:tc>
        <w:tc>
          <w:tcPr>
            <w:tcW w:w="420" w:type="dxa"/>
            <w:vAlign w:val="bottom"/>
            <w:tcBorders>
              <w:bottom w:val="single" w:sz="8" w:color="auto"/>
            </w:tcBorders>
          </w:tcPr>
          <w:p>
            <w:pPr>
              <w:ind w:left="80"/>
              <w:spacing w:after="0" w:line="107" w:lineRule="exact"/>
              <w:rPr>
                <w:sz w:val="20"/>
                <w:szCs w:val="20"/>
                <w:color w:val="auto"/>
              </w:rPr>
            </w:pPr>
            <w:r>
              <w:rPr>
                <w:rFonts w:ascii="Times New Roman" w:cs="Times New Roman" w:eastAsia="Times New Roman" w:hAnsi="Times New Roman"/>
                <w:sz w:val="11"/>
                <w:szCs w:val="11"/>
                <w:b w:val="1"/>
                <w:bCs w:val="1"/>
                <w:color w:val="auto"/>
              </w:rPr>
              <w:t>Form</w:t>
            </w:r>
          </w:p>
        </w:tc>
        <w:tc>
          <w:tcPr>
            <w:tcW w:w="220" w:type="dxa"/>
            <w:vAlign w:val="bottom"/>
          </w:tcPr>
          <w:p>
            <w:pPr>
              <w:spacing w:after="0"/>
              <w:rPr>
                <w:sz w:val="9"/>
                <w:szCs w:val="9"/>
                <w:color w:val="auto"/>
              </w:rPr>
            </w:pPr>
          </w:p>
        </w:tc>
        <w:tc>
          <w:tcPr>
            <w:tcW w:w="800" w:type="dxa"/>
            <w:vAlign w:val="bottom"/>
            <w:tcBorders>
              <w:bottom w:val="single" w:sz="8" w:color="auto"/>
            </w:tcBorders>
          </w:tcPr>
          <w:p>
            <w:pPr>
              <w:ind w:left="200"/>
              <w:spacing w:after="0" w:line="107" w:lineRule="exact"/>
              <w:rPr>
                <w:sz w:val="20"/>
                <w:szCs w:val="20"/>
                <w:color w:val="auto"/>
              </w:rPr>
            </w:pPr>
            <w:r>
              <w:rPr>
                <w:rFonts w:ascii="Times New Roman" w:cs="Times New Roman" w:eastAsia="Times New Roman" w:hAnsi="Times New Roman"/>
                <w:sz w:val="11"/>
                <w:szCs w:val="11"/>
                <w:b w:val="1"/>
                <w:bCs w:val="1"/>
                <w:color w:val="auto"/>
              </w:rPr>
              <w:t>File No.</w:t>
            </w:r>
          </w:p>
        </w:tc>
        <w:tc>
          <w:tcPr>
            <w:tcW w:w="220" w:type="dxa"/>
            <w:vAlign w:val="bottom"/>
          </w:tcPr>
          <w:p>
            <w:pPr>
              <w:spacing w:after="0"/>
              <w:rPr>
                <w:sz w:val="9"/>
                <w:szCs w:val="9"/>
                <w:color w:val="auto"/>
              </w:rPr>
            </w:pPr>
          </w:p>
        </w:tc>
        <w:tc>
          <w:tcPr>
            <w:tcW w:w="400" w:type="dxa"/>
            <w:vAlign w:val="bottom"/>
            <w:tcBorders>
              <w:bottom w:val="single" w:sz="8" w:color="auto"/>
            </w:tcBorders>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220" w:type="dxa"/>
            <w:vAlign w:val="bottom"/>
          </w:tcPr>
          <w:p>
            <w:pPr>
              <w:spacing w:after="0"/>
              <w:rPr>
                <w:sz w:val="9"/>
                <w:szCs w:val="9"/>
                <w:color w:val="auto"/>
              </w:rPr>
            </w:pPr>
          </w:p>
        </w:tc>
        <w:tc>
          <w:tcPr>
            <w:tcW w:w="780" w:type="dxa"/>
            <w:vAlign w:val="bottom"/>
            <w:tcBorders>
              <w:bottom w:val="single" w:sz="8" w:color="auto"/>
            </w:tcBorders>
          </w:tcPr>
          <w:p>
            <w:pPr>
              <w:ind w:left="100"/>
              <w:spacing w:after="0" w:line="107" w:lineRule="exact"/>
              <w:rPr>
                <w:sz w:val="20"/>
                <w:szCs w:val="20"/>
                <w:color w:val="auto"/>
              </w:rPr>
            </w:pPr>
            <w:r>
              <w:rPr>
                <w:rFonts w:ascii="Times New Roman" w:cs="Times New Roman" w:eastAsia="Times New Roman" w:hAnsi="Times New Roman"/>
                <w:sz w:val="11"/>
                <w:szCs w:val="11"/>
                <w:b w:val="1"/>
                <w:bCs w:val="1"/>
                <w:color w:val="auto"/>
              </w:rPr>
              <w:t>Filing Date</w:t>
            </w:r>
          </w:p>
        </w:tc>
      </w:tr>
    </w:tbl>
    <w:p>
      <w:pPr>
        <w:spacing w:after="0" w:line="60" w:lineRule="exact"/>
        <w:rPr>
          <w:sz w:val="20"/>
          <w:szCs w:val="20"/>
          <w:color w:val="auto"/>
        </w:rPr>
      </w:pPr>
    </w:p>
    <w:p>
      <w:pPr>
        <w:ind w:left="1340" w:hanging="65"/>
        <w:spacing w:after="0"/>
        <w:tabs>
          <w:tab w:leader="none" w:pos="13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w:t>
      </w:r>
      <w:r>
        <w:rPr>
          <w:rFonts w:ascii="Times New Roman" w:cs="Times New Roman" w:eastAsia="Times New Roman" w:hAnsi="Times New Roman"/>
          <w:sz w:val="14"/>
          <w:szCs w:val="14"/>
          <w:color w:val="auto"/>
        </w:rPr>
        <w:t>Form of Underwriting Agreement</w:t>
      </w:r>
    </w:p>
    <w:p>
      <w:pPr>
        <w:spacing w:after="0" w:line="96" w:lineRule="exact"/>
        <w:rPr>
          <w:rFonts w:ascii="Times New Roman" w:cs="Times New Roman" w:eastAsia="Times New Roman" w:hAnsi="Times New Roman"/>
          <w:sz w:val="13"/>
          <w:szCs w:val="13"/>
          <w:color w:val="auto"/>
        </w:rPr>
      </w:pPr>
    </w:p>
    <w:p>
      <w:pPr>
        <w:ind w:left="1340" w:hanging="65"/>
        <w:spacing w:after="0"/>
        <w:tabs>
          <w:tab w:leader="none" w:pos="1340" w:val="left"/>
        </w:tabs>
        <w:numPr>
          <w:ilvl w:val="0"/>
          <w:numId w:val="2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3"/>
          <w:szCs w:val="13"/>
          <w:color w:val="auto"/>
        </w:rPr>
        <w:t>3.1</w:t>
      </w:r>
      <w:hyperlink r:id="rId58">
        <w:r>
          <w:rPr>
            <w:rFonts w:ascii="Times New Roman" w:cs="Times New Roman" w:eastAsia="Times New Roman" w:hAnsi="Times New Roman"/>
            <w:sz w:val="14"/>
            <w:szCs w:val="14"/>
            <w:u w:val="single" w:color="auto"/>
            <w:color w:val="0000EE"/>
          </w:rPr>
          <w:t>Second Amended and Restated Certificate of Incorporation of Viasat,</w:t>
        </w:r>
      </w:hyperlink>
    </w:p>
    <w:p>
      <w:pPr>
        <w:spacing w:after="0" w:line="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0" w:type="dxa"/>
            <w:vAlign w:val="bottom"/>
            <w:tcBorders>
              <w:bottom w:val="single" w:sz="8" w:color="0000EE"/>
            </w:tcBorders>
          </w:tcPr>
          <w:p>
            <w:pPr>
              <w:spacing w:after="0"/>
              <w:rPr>
                <w:rFonts w:ascii="Times New Roman" w:cs="Times New Roman" w:eastAsia="Times New Roman" w:hAnsi="Times New Roman"/>
                <w:sz w:val="14"/>
                <w:szCs w:val="14"/>
                <w:color w:val="0000EE"/>
                <w:w w:val="83"/>
              </w:rPr>
            </w:pPr>
            <w:hyperlink r:id="rId58">
              <w:r>
                <w:rPr>
                  <w:rFonts w:ascii="Times New Roman" w:cs="Times New Roman" w:eastAsia="Times New Roman" w:hAnsi="Times New Roman"/>
                  <w:sz w:val="14"/>
                  <w:szCs w:val="14"/>
                  <w:color w:val="0000EE"/>
                  <w:w w:val="83"/>
                </w:rPr>
                <w:t>Inc.</w:t>
              </w:r>
            </w:hyperlink>
          </w:p>
        </w:tc>
        <w:tc>
          <w:tcPr>
            <w:tcW w:w="4600" w:type="dxa"/>
            <w:vAlign w:val="bottom"/>
          </w:tcPr>
          <w:p>
            <w:pPr>
              <w:ind w:left="410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000-21767</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11/14/2000</w:t>
            </w:r>
          </w:p>
        </w:tc>
      </w:tr>
    </w:tbl>
    <w:p>
      <w:pPr>
        <w:spacing w:after="0" w:line="92" w:lineRule="exact"/>
        <w:rPr>
          <w:sz w:val="20"/>
          <w:szCs w:val="20"/>
          <w:color w:val="auto"/>
        </w:rPr>
      </w:pPr>
    </w:p>
    <w:p>
      <w:pPr>
        <w:ind w:left="1340" w:hanging="65"/>
        <w:spacing w:after="0"/>
        <w:tabs>
          <w:tab w:leader="none" w:pos="1340" w:val="left"/>
        </w:tabs>
        <w:numPr>
          <w:ilvl w:val="0"/>
          <w:numId w:val="2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3"/>
          <w:szCs w:val="13"/>
          <w:color w:val="auto"/>
        </w:rPr>
        <w:t>3.2</w:t>
      </w:r>
      <w:hyperlink r:id="rId59">
        <w:r>
          <w:rPr>
            <w:rFonts w:ascii="Times New Roman" w:cs="Times New Roman" w:eastAsia="Times New Roman" w:hAnsi="Times New Roman"/>
            <w:sz w:val="14"/>
            <w:szCs w:val="14"/>
            <w:u w:val="single" w:color="auto"/>
            <w:color w:val="0000EE"/>
          </w:rPr>
          <w:t>Certificate of Amendment to the Second Amended and Restated</w:t>
        </w:r>
      </w:hyperlink>
    </w:p>
    <w:p>
      <w:pPr>
        <w:spacing w:after="0" w:line="3"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240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Certificate of Incorporation of Viasat, Inc.</w:t>
              </w:r>
            </w:hyperlink>
          </w:p>
        </w:tc>
        <w:tc>
          <w:tcPr>
            <w:tcW w:w="1040" w:type="dxa"/>
            <w:vAlign w:val="bottom"/>
            <w:gridSpan w:val="2"/>
          </w:tcPr>
          <w:p>
            <w:pPr>
              <w:spacing w:after="0"/>
              <w:rPr>
                <w:sz w:val="13"/>
                <w:szCs w:val="13"/>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000-21767</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06/02/2023</w:t>
            </w:r>
          </w:p>
        </w:tc>
      </w:tr>
      <w:tr>
        <w:trPr>
          <w:trHeight w:val="237"/>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264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Amended and Restated Bylaws of ViaSat, Inc.</w:t>
              </w:r>
            </w:hyperlink>
          </w:p>
        </w:tc>
        <w:tc>
          <w:tcPr>
            <w:tcW w:w="800" w:type="dxa"/>
            <w:vAlign w:val="bottom"/>
          </w:tcPr>
          <w:p>
            <w:pPr>
              <w:spacing w:after="0"/>
              <w:rPr>
                <w:sz w:val="20"/>
                <w:szCs w:val="20"/>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000-21767</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11/09/2023</w:t>
            </w:r>
          </w:p>
        </w:tc>
      </w:tr>
      <w:tr>
        <w:trPr>
          <w:trHeight w:val="237"/>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3440" w:type="dxa"/>
            <w:vAlign w:val="bottom"/>
            <w:gridSpan w:val="5"/>
          </w:tcPr>
          <w:p>
            <w:pPr>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Form of Common Stock Certificate (p)</w:t>
              </w:r>
            </w:hyperlink>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333-13183</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11/05/1996</w:t>
            </w:r>
          </w:p>
        </w:tc>
      </w:tr>
      <w:tr>
        <w:trPr>
          <w:trHeight w:val="26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22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auto"/>
              </w:rPr>
              <w:t>Form of Preferred Stock Certificate</w:t>
            </w:r>
          </w:p>
        </w:tc>
        <w:tc>
          <w:tcPr>
            <w:tcW w:w="1220" w:type="dxa"/>
            <w:vAlign w:val="bottom"/>
            <w:gridSpan w:val="3"/>
          </w:tcPr>
          <w:p>
            <w:pPr>
              <w:spacing w:after="0"/>
              <w:rPr>
                <w:sz w:val="23"/>
                <w:szCs w:val="23"/>
                <w:color w:val="auto"/>
              </w:rPr>
            </w:pPr>
          </w:p>
        </w:tc>
        <w:tc>
          <w:tcPr>
            <w:tcW w:w="1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26"/>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1040" w:type="dxa"/>
            <w:vAlign w:val="bottom"/>
            <w:tcBorders>
              <w:bottom w:val="single" w:sz="8" w:color="0000EE"/>
            </w:tcBorders>
          </w:tcPr>
          <w:p>
            <w:pPr>
              <w:spacing w:after="0"/>
              <w:rPr>
                <w:rFonts w:ascii="Times New Roman" w:cs="Times New Roman" w:eastAsia="Times New Roman" w:hAnsi="Times New Roman"/>
                <w:sz w:val="14"/>
                <w:szCs w:val="14"/>
                <w:color w:val="0000EE"/>
                <w:w w:val="99"/>
              </w:rPr>
            </w:pPr>
            <w:hyperlink r:id="rId62">
              <w:r>
                <w:rPr>
                  <w:rFonts w:ascii="Times New Roman" w:cs="Times New Roman" w:eastAsia="Times New Roman" w:hAnsi="Times New Roman"/>
                  <w:sz w:val="14"/>
                  <w:szCs w:val="14"/>
                  <w:color w:val="0000EE"/>
                  <w:w w:val="99"/>
                </w:rPr>
                <w:t>Form of Indenture</w:t>
              </w:r>
            </w:hyperlink>
          </w:p>
        </w:tc>
        <w:tc>
          <w:tcPr>
            <w:tcW w:w="2400" w:type="dxa"/>
            <w:vAlign w:val="bottom"/>
            <w:gridSpan w:val="4"/>
          </w:tcPr>
          <w:p>
            <w:pPr>
              <w:spacing w:after="0"/>
              <w:rPr>
                <w:sz w:val="19"/>
                <w:szCs w:val="19"/>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S-3</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333-273273</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07/14/2023</w:t>
            </w:r>
          </w:p>
        </w:tc>
      </w:tr>
    </w:tbl>
    <w:p>
      <w:pPr>
        <w:spacing w:after="0" w:line="92" w:lineRule="exact"/>
        <w:rPr>
          <w:sz w:val="20"/>
          <w:szCs w:val="20"/>
          <w:color w:val="auto"/>
        </w:rPr>
      </w:pPr>
    </w:p>
    <w:p>
      <w:pPr>
        <w:ind w:left="1340" w:hanging="65"/>
        <w:spacing w:after="0"/>
        <w:tabs>
          <w:tab w:leader="none" w:pos="13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4.4*</w:t>
      </w:r>
      <w:r>
        <w:rPr>
          <w:rFonts w:ascii="Times New Roman" w:cs="Times New Roman" w:eastAsia="Times New Roman" w:hAnsi="Times New Roman"/>
          <w:sz w:val="14"/>
          <w:szCs w:val="14"/>
          <w:color w:val="auto"/>
        </w:rPr>
        <w:t>Form of Debt Security</w:t>
      </w:r>
    </w:p>
    <w:p>
      <w:pPr>
        <w:spacing w:after="0" w:line="96" w:lineRule="exact"/>
        <w:rPr>
          <w:rFonts w:ascii="Times New Roman" w:cs="Times New Roman" w:eastAsia="Times New Roman" w:hAnsi="Times New Roman"/>
          <w:sz w:val="13"/>
          <w:szCs w:val="13"/>
          <w:color w:val="auto"/>
        </w:rPr>
      </w:pPr>
    </w:p>
    <w:p>
      <w:pPr>
        <w:ind w:left="1340" w:hanging="65"/>
        <w:spacing w:after="0"/>
        <w:tabs>
          <w:tab w:leader="none" w:pos="13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4.5*Form of Warrant</w:t>
      </w:r>
    </w:p>
    <w:p>
      <w:pPr>
        <w:spacing w:after="0" w:line="107" w:lineRule="exact"/>
        <w:rPr>
          <w:rFonts w:ascii="Times New Roman" w:cs="Times New Roman" w:eastAsia="Times New Roman" w:hAnsi="Times New Roman"/>
          <w:sz w:val="13"/>
          <w:szCs w:val="13"/>
          <w:color w:val="auto"/>
        </w:rPr>
      </w:pPr>
    </w:p>
    <w:p>
      <w:pPr>
        <w:ind w:left="1340" w:hanging="65"/>
        <w:spacing w:after="0"/>
        <w:tabs>
          <w:tab w:leader="none" w:pos="13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4.6*</w:t>
      </w:r>
      <w:r>
        <w:rPr>
          <w:rFonts w:ascii="Times New Roman" w:cs="Times New Roman" w:eastAsia="Times New Roman" w:hAnsi="Times New Roman"/>
          <w:sz w:val="14"/>
          <w:szCs w:val="14"/>
          <w:color w:val="auto"/>
        </w:rPr>
        <w:t>Form of Warrant Agreement</w:t>
      </w:r>
    </w:p>
    <w:p>
      <w:pPr>
        <w:spacing w:after="0" w:line="96" w:lineRule="exact"/>
        <w:rPr>
          <w:rFonts w:ascii="Times New Roman" w:cs="Times New Roman" w:eastAsia="Times New Roman" w:hAnsi="Times New Roman"/>
          <w:sz w:val="13"/>
          <w:szCs w:val="13"/>
          <w:color w:val="auto"/>
        </w:rPr>
      </w:pPr>
    </w:p>
    <w:p>
      <w:pPr>
        <w:ind w:left="1340" w:hanging="65"/>
        <w:spacing w:after="0"/>
        <w:tabs>
          <w:tab w:leader="none" w:pos="13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4.7*</w:t>
      </w:r>
      <w:r>
        <w:rPr>
          <w:rFonts w:ascii="Times New Roman" w:cs="Times New Roman" w:eastAsia="Times New Roman" w:hAnsi="Times New Roman"/>
          <w:sz w:val="14"/>
          <w:szCs w:val="14"/>
          <w:color w:val="auto"/>
        </w:rPr>
        <w:t>Form of Deposit Agreement</w:t>
      </w:r>
    </w:p>
    <w:p>
      <w:pPr>
        <w:spacing w:after="0" w:line="96" w:lineRule="exact"/>
        <w:rPr>
          <w:rFonts w:ascii="Times New Roman" w:cs="Times New Roman" w:eastAsia="Times New Roman" w:hAnsi="Times New Roman"/>
          <w:sz w:val="13"/>
          <w:szCs w:val="13"/>
          <w:color w:val="auto"/>
        </w:rPr>
      </w:pPr>
    </w:p>
    <w:p>
      <w:pPr>
        <w:ind w:left="1340" w:hanging="65"/>
        <w:spacing w:after="0"/>
        <w:tabs>
          <w:tab w:leader="none" w:pos="13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4.8*</w:t>
      </w:r>
      <w:r>
        <w:rPr>
          <w:rFonts w:ascii="Times New Roman" w:cs="Times New Roman" w:eastAsia="Times New Roman" w:hAnsi="Times New Roman"/>
          <w:sz w:val="14"/>
          <w:szCs w:val="14"/>
          <w:color w:val="auto"/>
        </w:rPr>
        <w:t>Form of Depositary Receipt</w:t>
      </w:r>
    </w:p>
    <w:p>
      <w:pPr>
        <w:spacing w:after="0" w:line="96" w:lineRule="exact"/>
        <w:rPr>
          <w:rFonts w:ascii="Times New Roman" w:cs="Times New Roman" w:eastAsia="Times New Roman" w:hAnsi="Times New Roman"/>
          <w:sz w:val="13"/>
          <w:szCs w:val="13"/>
          <w:color w:val="auto"/>
        </w:rPr>
      </w:pPr>
    </w:p>
    <w:p>
      <w:pPr>
        <w:ind w:left="1340" w:hanging="65"/>
        <w:spacing w:after="0"/>
        <w:tabs>
          <w:tab w:leader="none" w:pos="13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5.1</w:t>
      </w:r>
      <w:r>
        <w:rPr>
          <w:rFonts w:ascii="Times New Roman" w:cs="Times New Roman" w:eastAsia="Times New Roman" w:hAnsi="Times New Roman"/>
          <w:sz w:val="14"/>
          <w:szCs w:val="14"/>
          <w:u w:val="single" w:color="auto"/>
          <w:color w:val="0000EE"/>
        </w:rPr>
        <w:t>Opinion of Latham &amp; Watkins LLP</w:t>
      </w:r>
    </w:p>
    <w:p>
      <w:pPr>
        <w:spacing w:after="0" w:line="96"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4"/>
          <w:szCs w:val="14"/>
          <w:u w:val="single" w:color="auto"/>
          <w:color w:val="0000EE"/>
        </w:rPr>
        <w:t>Consent of Latham &amp; Watkins LLP (included in Exhibit 5.1)</w:t>
      </w:r>
    </w:p>
    <w:p>
      <w:pPr>
        <w:spacing w:after="0" w:line="96"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4"/>
          <w:szCs w:val="14"/>
          <w:u w:val="single" w:color="auto"/>
          <w:color w:val="0000EE"/>
        </w:rPr>
        <w:t>Consent of PricewaterhouseCoopers LLP, independent registered</w:t>
      </w:r>
    </w:p>
    <w:p>
      <w:pPr>
        <w:spacing w:after="0" w:line="2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u w:val="single" w:color="auto"/>
          <w:color w:val="0000EE"/>
        </w:rPr>
        <w:t>public accounting firm</w:t>
      </w:r>
    </w:p>
    <w:p>
      <w:pPr>
        <w:spacing w:after="0" w:line="82"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4"/>
          <w:szCs w:val="14"/>
          <w:u w:val="single" w:color="auto"/>
          <w:color w:val="0000EE"/>
        </w:rPr>
        <w:t>Powers of Attorney (included on signature pages hereto)</w:t>
      </w:r>
    </w:p>
    <w:p>
      <w:pPr>
        <w:spacing w:after="0" w:line="96"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4"/>
          <w:szCs w:val="14"/>
          <w:color w:val="auto"/>
        </w:rPr>
        <w:t>25.1*</w:t>
      </w:r>
      <w:r>
        <w:rPr>
          <w:sz w:val="20"/>
          <w:szCs w:val="20"/>
          <w:color w:val="auto"/>
        </w:rPr>
        <w:tab/>
      </w:r>
      <w:r>
        <w:rPr>
          <w:rFonts w:ascii="Times New Roman" w:cs="Times New Roman" w:eastAsia="Times New Roman" w:hAnsi="Times New Roman"/>
          <w:sz w:val="14"/>
          <w:szCs w:val="14"/>
          <w:color w:val="auto"/>
        </w:rPr>
        <w:t>Statement of Eligibility of Trustee on Form T-1</w:t>
      </w:r>
    </w:p>
    <w:p>
      <w:pPr>
        <w:spacing w:after="0" w:line="96" w:lineRule="exact"/>
        <w:rPr>
          <w:sz w:val="20"/>
          <w:szCs w:val="20"/>
          <w:color w:val="auto"/>
        </w:rPr>
      </w:pPr>
    </w:p>
    <w:p>
      <w:pPr>
        <w:ind w:left="1980" w:hanging="705"/>
        <w:spacing w:after="0"/>
        <w:tabs>
          <w:tab w:leader="none" w:pos="1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83820</wp:posOffset>
            </wp:positionV>
            <wp:extent cx="60515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605155" cy="6985"/>
                    </a:xfrm>
                    <a:prstGeom prst="rect">
                      <a:avLst/>
                    </a:prstGeom>
                    <a:noFill/>
                  </pic:spPr>
                </pic:pic>
              </a:graphicData>
            </a:graphic>
          </wp:anchor>
        </w:drawing>
      </w:r>
    </w:p>
    <w:p>
      <w:pPr>
        <w:spacing w:after="0" w:line="140" w:lineRule="exact"/>
        <w:rPr>
          <w:sz w:val="20"/>
          <w:szCs w:val="20"/>
          <w:color w:val="auto"/>
        </w:rPr>
      </w:pPr>
    </w:p>
    <w:p>
      <w:pPr>
        <w:ind w:left="1620" w:hanging="345"/>
        <w:spacing w:after="0"/>
        <w:tabs>
          <w:tab w:leader="none" w:pos="16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incorporated by reference in connection with the offering of the securities.</w:t>
      </w:r>
    </w:p>
    <w:p>
      <w:pPr>
        <w:spacing w:after="0" w:line="24" w:lineRule="exact"/>
        <w:rPr>
          <w:sz w:val="20"/>
          <w:szCs w:val="20"/>
          <w:color w:val="auto"/>
        </w:rPr>
      </w:pPr>
    </w:p>
    <w:p>
      <w:pPr>
        <w:ind w:left="1620" w:hanging="345"/>
        <w:spacing w:after="0"/>
        <w:tabs>
          <w:tab w:leader="none" w:pos="1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in paper.</w:t>
      </w:r>
    </w:p>
    <w:p>
      <w:pPr>
        <w:spacing w:after="0" w:line="2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 xml:space="preserve">Item 17. </w:t>
      </w:r>
      <w:r>
        <w:rPr>
          <w:rFonts w:ascii="Times New Roman" w:cs="Times New Roman" w:eastAsia="Times New Roman" w:hAnsi="Times New Roman"/>
          <w:sz w:val="14"/>
          <w:szCs w:val="14"/>
          <w:b w:val="1"/>
          <w:bCs w:val="1"/>
          <w:i w:val="1"/>
          <w:iCs w:val="1"/>
          <w:color w:val="auto"/>
        </w:rPr>
        <w:t>Undertakings</w:t>
      </w:r>
    </w:p>
    <w:p>
      <w:pPr>
        <w:spacing w:after="0" w:line="100" w:lineRule="exact"/>
        <w:rPr>
          <w:sz w:val="20"/>
          <w:szCs w:val="20"/>
          <w:color w:val="auto"/>
        </w:rPr>
      </w:pPr>
    </w:p>
    <w:p>
      <w:pPr>
        <w:ind w:left="1820" w:hanging="196"/>
        <w:spacing w:after="0"/>
        <w:tabs>
          <w:tab w:leader="none" w:pos="18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81" w:lineRule="exact"/>
        <w:rPr>
          <w:rFonts w:ascii="Times New Roman" w:cs="Times New Roman" w:eastAsia="Times New Roman" w:hAnsi="Times New Roman"/>
          <w:sz w:val="14"/>
          <w:szCs w:val="14"/>
          <w:color w:val="auto"/>
        </w:rPr>
      </w:pPr>
    </w:p>
    <w:p>
      <w:pPr>
        <w:ind w:left="2260" w:hanging="199"/>
        <w:spacing w:after="0"/>
        <w:tabs>
          <w:tab w:leader="none" w:pos="22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81" w:lineRule="exact"/>
        <w:rPr>
          <w:rFonts w:ascii="Times New Roman" w:cs="Times New Roman" w:eastAsia="Times New Roman" w:hAnsi="Times New Roman"/>
          <w:sz w:val="14"/>
          <w:szCs w:val="14"/>
          <w:color w:val="auto"/>
        </w:rPr>
      </w:pPr>
    </w:p>
    <w:p>
      <w:pPr>
        <w:ind w:left="2580" w:hanging="169"/>
        <w:spacing w:after="0"/>
        <w:tabs>
          <w:tab w:leader="none" w:pos="2580" w:val="left"/>
        </w:tabs>
        <w:numPr>
          <w:ilvl w:val="2"/>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1"/>
          <w:szCs w:val="11"/>
          <w:b w:val="1"/>
          <w:bCs w:val="1"/>
          <w:color w:val="auto"/>
        </w:rPr>
        <w:t>Filed</w:t>
      </w:r>
    </w:p>
    <w:p>
      <w:pPr>
        <w:spacing w:after="0" w:line="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1"/>
          <w:szCs w:val="11"/>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color w:val="auto"/>
        </w:rPr>
        <w:t>X</w:t>
      </w:r>
    </w:p>
    <w:p>
      <w:pPr>
        <w:spacing w:after="0" w:line="96"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color w:val="auto"/>
        </w:rPr>
        <w:t>X</w:t>
      </w:r>
    </w:p>
    <w:p>
      <w:pPr>
        <w:spacing w:after="0" w:line="267"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color w:val="auto"/>
        </w:rPr>
        <w:t>X</w:t>
      </w:r>
    </w:p>
    <w:p>
      <w:pPr>
        <w:spacing w:after="0" w:line="96"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color w:val="auto"/>
        </w:rPr>
        <w:t>X</w:t>
      </w:r>
    </w:p>
    <w:p>
      <w:pPr>
        <w:spacing w:after="0" w:line="353"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color w:val="auto"/>
        </w:rPr>
        <w:t>X</w:t>
      </w:r>
    </w:p>
    <w:p>
      <w:pPr>
        <w:spacing w:after="0" w:line="2045" w:lineRule="exact"/>
        <w:rPr>
          <w:sz w:val="20"/>
          <w:szCs w:val="20"/>
          <w:color w:val="auto"/>
        </w:rPr>
      </w:pPr>
    </w:p>
    <w:p>
      <w:pPr>
        <w:sectPr>
          <w:pgSz w:w="11900" w:h="16838" w:orient="portrait"/>
          <w:cols w:equalWidth="0" w:num="2">
            <w:col w:w="9340" w:space="120"/>
            <w:col w:w="699"/>
          </w:cols>
          <w:pgMar w:left="300" w:top="391" w:right="1440" w:bottom="1440" w:gutter="0" w:footer="0" w:header="0"/>
          <w:type w:val="continuous"/>
        </w:sectPr>
      </w:pPr>
    </w:p>
    <w:p>
      <w:pPr>
        <w:ind w:left="1280" w:right="159" w:firstLine="1131"/>
        <w:spacing w:after="0" w:line="273" w:lineRule="auto"/>
        <w:tabs>
          <w:tab w:leader="none" w:pos="262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91" w:right="1440"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179" w:firstLine="1131"/>
        <w:spacing w:after="0" w:line="291" w:lineRule="auto"/>
        <w:tabs>
          <w:tab w:leader="none" w:pos="266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2" w:lineRule="exact"/>
        <w:rPr>
          <w:sz w:val="20"/>
          <w:szCs w:val="20"/>
          <w:color w:val="auto"/>
        </w:rPr>
      </w:pPr>
    </w:p>
    <w:p>
      <w:pPr>
        <w:ind w:left="1280" w:right="13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paragraphs (a)(1)(i), (a)(1)(ii) and (a)(1)(iii) above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a part of the registration statement.</w:t>
      </w:r>
    </w:p>
    <w:p>
      <w:pPr>
        <w:spacing w:after="0" w:line="140" w:lineRule="exact"/>
        <w:rPr>
          <w:sz w:val="20"/>
          <w:szCs w:val="20"/>
          <w:color w:val="auto"/>
        </w:rPr>
      </w:pPr>
    </w:p>
    <w:p>
      <w:pPr>
        <w:ind w:left="1280" w:right="159" w:firstLine="781"/>
        <w:spacing w:after="0" w:line="273" w:lineRule="auto"/>
        <w:tabs>
          <w:tab w:leader="none" w:pos="226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fide </w:t>
      </w:r>
      <w:r>
        <w:rPr>
          <w:rFonts w:ascii="Times New Roman" w:cs="Times New Roman" w:eastAsia="Times New Roman" w:hAnsi="Times New Roman"/>
          <w:sz w:val="14"/>
          <w:szCs w:val="14"/>
          <w:color w:val="auto"/>
        </w:rPr>
        <w:t>offering thereof.</w:t>
      </w:r>
    </w:p>
    <w:p>
      <w:pPr>
        <w:spacing w:after="0" w:line="136" w:lineRule="exact"/>
        <w:rPr>
          <w:rFonts w:ascii="Times New Roman" w:cs="Times New Roman" w:eastAsia="Times New Roman" w:hAnsi="Times New Roman"/>
          <w:sz w:val="14"/>
          <w:szCs w:val="14"/>
          <w:color w:val="auto"/>
        </w:rPr>
      </w:pPr>
    </w:p>
    <w:p>
      <w:pPr>
        <w:ind w:left="1280" w:right="219" w:firstLine="781"/>
        <w:spacing w:after="0" w:line="291" w:lineRule="auto"/>
        <w:tabs>
          <w:tab w:leader="none" w:pos="226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3" w:lineRule="exact"/>
        <w:rPr>
          <w:rFonts w:ascii="Times New Roman" w:cs="Times New Roman" w:eastAsia="Times New Roman" w:hAnsi="Times New Roman"/>
          <w:sz w:val="14"/>
          <w:szCs w:val="14"/>
          <w:color w:val="auto"/>
        </w:rPr>
      </w:pPr>
    </w:p>
    <w:p>
      <w:pPr>
        <w:ind w:left="2260" w:hanging="199"/>
        <w:spacing w:after="0"/>
        <w:tabs>
          <w:tab w:leader="none" w:pos="2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81" w:lineRule="exact"/>
        <w:rPr>
          <w:rFonts w:ascii="Times New Roman" w:cs="Times New Roman" w:eastAsia="Times New Roman" w:hAnsi="Times New Roman"/>
          <w:sz w:val="14"/>
          <w:szCs w:val="14"/>
          <w:color w:val="auto"/>
        </w:rPr>
      </w:pPr>
    </w:p>
    <w:p>
      <w:pPr>
        <w:ind w:left="1280" w:right="159" w:firstLine="1131"/>
        <w:spacing w:after="0" w:line="291" w:lineRule="auto"/>
        <w:tabs>
          <w:tab w:leader="none" w:pos="2586"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3" w:lineRule="exact"/>
        <w:rPr>
          <w:rFonts w:ascii="Times New Roman" w:cs="Times New Roman" w:eastAsia="Times New Roman" w:hAnsi="Times New Roman"/>
          <w:sz w:val="14"/>
          <w:szCs w:val="14"/>
          <w:color w:val="auto"/>
        </w:rPr>
      </w:pPr>
    </w:p>
    <w:p>
      <w:pPr>
        <w:ind w:left="1280" w:right="179" w:firstLine="1131"/>
        <w:spacing w:after="0" w:line="259" w:lineRule="auto"/>
        <w:tabs>
          <w:tab w:leader="none" w:pos="2626"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5" w:lineRule="exact"/>
        <w:rPr>
          <w:rFonts w:ascii="Times New Roman" w:cs="Times New Roman" w:eastAsia="Times New Roman" w:hAnsi="Times New Roman"/>
          <w:sz w:val="14"/>
          <w:szCs w:val="14"/>
          <w:color w:val="auto"/>
        </w:rPr>
      </w:pPr>
    </w:p>
    <w:p>
      <w:pPr>
        <w:ind w:left="2260" w:hanging="199"/>
        <w:spacing w:after="0"/>
        <w:tabs>
          <w:tab w:leader="none" w:pos="2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w:t>
      </w:r>
    </w:p>
    <w:p>
      <w:pPr>
        <w:spacing w:after="0" w:line="24"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w:t>
      </w:r>
    </w:p>
    <w:p>
      <w:pPr>
        <w:spacing w:after="0" w:line="168" w:lineRule="exact"/>
        <w:rPr>
          <w:sz w:val="20"/>
          <w:szCs w:val="20"/>
          <w:color w:val="auto"/>
        </w:rPr>
      </w:pPr>
    </w:p>
    <w:p>
      <w:pPr>
        <w:ind w:left="1280" w:right="259" w:firstLine="349"/>
        <w:spacing w:after="0" w:line="267"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(i) Any preliminary prospectus or prospectus of the undersigned registrant relating to the offering required to be filed pursuant to</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Rule 424;</w:t>
      </w:r>
    </w:p>
    <w:p>
      <w:pPr>
        <w:spacing w:after="0" w:line="168" w:lineRule="exact"/>
        <w:rPr>
          <w:sz w:val="20"/>
          <w:szCs w:val="20"/>
          <w:color w:val="auto"/>
        </w:rPr>
      </w:pPr>
    </w:p>
    <w:p>
      <w:pPr>
        <w:ind w:left="1280" w:right="279" w:firstLine="1131"/>
        <w:spacing w:after="0" w:line="291" w:lineRule="auto"/>
        <w:tabs>
          <w:tab w:leader="none" w:pos="261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9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279" w:firstLine="1131"/>
        <w:spacing w:after="0" w:line="291" w:lineRule="auto"/>
        <w:tabs>
          <w:tab w:leader="none" w:pos="2666"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3" w:lineRule="exact"/>
        <w:rPr>
          <w:rFonts w:ascii="Times New Roman" w:cs="Times New Roman" w:eastAsia="Times New Roman" w:hAnsi="Times New Roman"/>
          <w:sz w:val="14"/>
          <w:szCs w:val="14"/>
          <w:color w:val="auto"/>
        </w:rPr>
      </w:pPr>
    </w:p>
    <w:p>
      <w:pPr>
        <w:ind w:left="2660" w:hanging="249"/>
        <w:spacing w:after="0"/>
        <w:tabs>
          <w:tab w:leader="none" w:pos="266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1" w:lineRule="exact"/>
        <w:rPr>
          <w:rFonts w:ascii="Times New Roman" w:cs="Times New Roman" w:eastAsia="Times New Roman" w:hAnsi="Times New Roman"/>
          <w:sz w:val="14"/>
          <w:szCs w:val="14"/>
          <w:color w:val="auto"/>
        </w:rPr>
      </w:pPr>
    </w:p>
    <w:p>
      <w:pPr>
        <w:ind w:left="1280" w:right="239" w:firstLine="344"/>
        <w:spacing w:after="0" w:line="264" w:lineRule="auto"/>
        <w:tabs>
          <w:tab w:leader="none" w:pos="18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 xml:space="preserve">bona fide </w:t>
      </w:r>
      <w:r>
        <w:rPr>
          <w:rFonts w:ascii="Times New Roman" w:cs="Times New Roman" w:eastAsia="Times New Roman" w:hAnsi="Times New Roman"/>
          <w:sz w:val="14"/>
          <w:szCs w:val="14"/>
          <w:color w:val="auto"/>
        </w:rPr>
        <w:t>offering thereof.</w:t>
      </w:r>
    </w:p>
    <w:p>
      <w:pPr>
        <w:spacing w:after="0" w:line="142" w:lineRule="exact"/>
        <w:rPr>
          <w:rFonts w:ascii="Times New Roman" w:cs="Times New Roman" w:eastAsia="Times New Roman" w:hAnsi="Times New Roman"/>
          <w:sz w:val="14"/>
          <w:szCs w:val="14"/>
          <w:color w:val="auto"/>
        </w:rPr>
      </w:pPr>
    </w:p>
    <w:p>
      <w:pPr>
        <w:ind w:left="1280" w:right="259" w:firstLine="344"/>
        <w:spacing w:after="0" w:line="260" w:lineRule="auto"/>
        <w:tabs>
          <w:tab w:leader="none" w:pos="182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6" w:lineRule="exact"/>
        <w:rPr>
          <w:rFonts w:ascii="Times New Roman" w:cs="Times New Roman" w:eastAsia="Times New Roman" w:hAnsi="Times New Roman"/>
          <w:sz w:val="14"/>
          <w:szCs w:val="14"/>
          <w:color w:val="auto"/>
        </w:rPr>
      </w:pPr>
    </w:p>
    <w:p>
      <w:pPr>
        <w:ind w:left="1280" w:right="439" w:firstLine="344"/>
        <w:spacing w:after="0" w:line="273" w:lineRule="auto"/>
        <w:tabs>
          <w:tab w:leader="none" w:pos="18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or the Act, in accordance with the rules and regulations prescribed by the SEC under Section 305(b)(2) of the Act.</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9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4" w:lineRule="exact"/>
        <w:rPr>
          <w:sz w:val="20"/>
          <w:szCs w:val="20"/>
          <w:color w:val="auto"/>
        </w:rPr>
      </w:pPr>
    </w:p>
    <w:p>
      <w:pPr>
        <w:ind w:left="1280" w:right="459" w:firstLine="349"/>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Carlsbad, State of California, on May 29, 2026.</w:t>
      </w:r>
    </w:p>
    <w:p>
      <w:pPr>
        <w:spacing w:after="0" w:line="15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VIASAT, INC.</w:t>
      </w:r>
    </w:p>
    <w:p>
      <w:pPr>
        <w:spacing w:after="0" w:line="18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MARK DANKBERG</w:t>
      </w:r>
    </w:p>
    <w:p>
      <w:pPr>
        <w:spacing w:after="0" w:line="2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color w:val="auto"/>
        </w:rPr>
        <w:t>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-100965</wp:posOffset>
            </wp:positionV>
            <wp:extent cx="206057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2060575" cy="698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i w:val="1"/>
          <w:iCs w:val="1"/>
          <w:color w:val="auto"/>
        </w:rPr>
        <w:t>Chairman of the Board and</w:t>
      </w:r>
    </w:p>
    <w:p>
      <w:pPr>
        <w:spacing w:after="0" w:line="1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3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4" w:lineRule="exact"/>
        <w:rPr>
          <w:sz w:val="20"/>
          <w:szCs w:val="20"/>
          <w:color w:val="auto"/>
        </w:rPr>
      </w:pPr>
    </w:p>
    <w:p>
      <w:pPr>
        <w:ind w:left="1280" w:right="179" w:firstLine="349"/>
        <w:spacing w:after="0" w:line="259" w:lineRule="auto"/>
        <w:rPr>
          <w:sz w:val="20"/>
          <w:szCs w:val="20"/>
          <w:color w:val="auto"/>
        </w:rPr>
      </w:pPr>
      <w:r>
        <w:rPr>
          <w:rFonts w:ascii="Times New Roman" w:cs="Times New Roman" w:eastAsia="Times New Roman" w:hAnsi="Times New Roman"/>
          <w:sz w:val="14"/>
          <w:szCs w:val="14"/>
          <w:color w:val="auto"/>
        </w:rPr>
        <w:t>Each of the undersigned officers and directors of the registrant hereby severally constitutes and appoints Mark Dankberg, Garrett Chase and Camellia FitzGerald,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47" w:lineRule="exact"/>
        <w:rPr>
          <w:sz w:val="20"/>
          <w:szCs w:val="20"/>
          <w:color w:val="auto"/>
        </w:rPr>
      </w:pPr>
    </w:p>
    <w:p>
      <w:pPr>
        <w:ind w:left="1280" w:right="159" w:firstLine="349"/>
        <w:spacing w:after="0" w:line="29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40" w:lineRule="exact"/>
        <w:rPr>
          <w:sz w:val="20"/>
          <w:szCs w:val="20"/>
          <w:color w:val="auto"/>
        </w:rPr>
      </w:pPr>
    </w:p>
    <w:tbl>
      <w:tblPr>
        <w:tblLayout w:type="fixed"/>
        <w:tblInd w:w="1280" w:type="dxa"/>
        <w:tblCellMar>
          <w:top w:w="0" w:type="dxa"/>
          <w:left w:w="0" w:type="dxa"/>
          <w:bottom w:w="0" w:type="dxa"/>
          <w:right w:w="0" w:type="dxa"/>
        </w:tblCellMar>
      </w:tblPr>
      <w:tr>
        <w:trPr>
          <w:trHeight w:val="148"/>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22"/>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MARK DANKBERG</w:t>
            </w:r>
          </w:p>
        </w:tc>
        <w:tc>
          <w:tcPr>
            <w:tcW w:w="100" w:type="dxa"/>
            <w:vAlign w:val="bottom"/>
          </w:tcPr>
          <w:p>
            <w:pPr>
              <w:spacing w:after="0"/>
              <w:rPr>
                <w:sz w:val="24"/>
                <w:szCs w:val="24"/>
                <w:color w:val="auto"/>
              </w:rPr>
            </w:pP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Chairman of the Board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29, 2026</w:t>
            </w:r>
          </w:p>
        </w:tc>
      </w:tr>
      <w:tr>
        <w:trPr>
          <w:trHeight w:val="177"/>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 Dankberg</w:t>
            </w:r>
          </w:p>
        </w:tc>
        <w:tc>
          <w:tcPr>
            <w:tcW w:w="100" w:type="dxa"/>
            <w:vAlign w:val="bottom"/>
          </w:tcPr>
          <w:p>
            <w:pPr>
              <w:spacing w:after="0"/>
              <w:rPr>
                <w:sz w:val="15"/>
                <w:szCs w:val="15"/>
                <w:color w:val="auto"/>
              </w:rPr>
            </w:pPr>
          </w:p>
        </w:tc>
        <w:tc>
          <w:tcPr>
            <w:tcW w:w="3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GARRETT CHASE</w:t>
            </w:r>
          </w:p>
        </w:tc>
        <w:tc>
          <w:tcPr>
            <w:tcW w:w="100" w:type="dxa"/>
            <w:vAlign w:val="bottom"/>
          </w:tcPr>
          <w:p>
            <w:pPr>
              <w:spacing w:after="0"/>
              <w:rPr>
                <w:sz w:val="24"/>
                <w:szCs w:val="24"/>
                <w:color w:val="auto"/>
              </w:rPr>
            </w:pP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Senior Vice President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29, 2026</w:t>
            </w:r>
          </w:p>
        </w:tc>
      </w:tr>
      <w:tr>
        <w:trPr>
          <w:trHeight w:val="137"/>
        </w:trPr>
        <w:tc>
          <w:tcPr>
            <w:tcW w:w="3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rPr>
              <w:t>Garrett Chase</w:t>
            </w:r>
          </w:p>
        </w:tc>
        <w:tc>
          <w:tcPr>
            <w:tcW w:w="100" w:type="dxa"/>
            <w:vAlign w:val="bottom"/>
          </w:tcPr>
          <w:p>
            <w:pPr>
              <w:spacing w:after="0"/>
              <w:rPr>
                <w:sz w:val="11"/>
                <w:szCs w:val="11"/>
                <w:color w:val="auto"/>
              </w:rPr>
            </w:pPr>
          </w:p>
        </w:tc>
        <w:tc>
          <w:tcPr>
            <w:tcW w:w="322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color w:val="auto"/>
              </w:rPr>
              <w:t>Chief Financial Officer</w:t>
            </w:r>
          </w:p>
        </w:tc>
        <w:tc>
          <w:tcPr>
            <w:tcW w:w="1480" w:type="dxa"/>
            <w:vAlign w:val="bottom"/>
          </w:tcPr>
          <w:p>
            <w:pPr>
              <w:spacing w:after="0"/>
              <w:rPr>
                <w:sz w:val="11"/>
                <w:szCs w:val="11"/>
                <w:color w:val="auto"/>
              </w:rPr>
            </w:pPr>
          </w:p>
        </w:tc>
      </w:tr>
      <w:tr>
        <w:trPr>
          <w:trHeight w:val="185"/>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6"/>
                <w:szCs w:val="16"/>
                <w:color w:val="auto"/>
              </w:rPr>
            </w:pPr>
          </w:p>
        </w:tc>
      </w:tr>
      <w:tr>
        <w:trPr>
          <w:trHeight w:val="35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CAMELLIA FITZGERALD</w:t>
            </w:r>
          </w:p>
        </w:tc>
        <w:tc>
          <w:tcPr>
            <w:tcW w:w="100" w:type="dxa"/>
            <w:vAlign w:val="bottom"/>
          </w:tcPr>
          <w:p>
            <w:pPr>
              <w:spacing w:after="0"/>
              <w:rPr>
                <w:sz w:val="24"/>
                <w:szCs w:val="24"/>
                <w:color w:val="auto"/>
              </w:rPr>
            </w:pP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Chief Accounting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29, 2026</w:t>
            </w:r>
          </w:p>
        </w:tc>
      </w:tr>
      <w:tr>
        <w:trPr>
          <w:trHeight w:val="177"/>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Camellia FitzGerald</w:t>
            </w:r>
          </w:p>
        </w:tc>
        <w:tc>
          <w:tcPr>
            <w:tcW w:w="100" w:type="dxa"/>
            <w:vAlign w:val="bottom"/>
          </w:tcPr>
          <w:p>
            <w:pPr>
              <w:spacing w:after="0"/>
              <w:rPr>
                <w:sz w:val="15"/>
                <w:szCs w:val="15"/>
                <w:color w:val="auto"/>
              </w:rPr>
            </w:pP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3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1"/>
                <w:szCs w:val="11"/>
                <w:color w:val="auto"/>
                <w:w w:val="99"/>
              </w:rPr>
              <w:t>S</w:t>
            </w:r>
            <w:r>
              <w:rPr>
                <w:rFonts w:ascii="Times New Roman" w:cs="Times New Roman" w:eastAsia="Times New Roman" w:hAnsi="Times New Roman"/>
                <w:sz w:val="14"/>
                <w:szCs w:val="14"/>
                <w:color w:val="auto"/>
                <w:w w:val="99"/>
              </w:rPr>
              <w:t>/ SHEKAR AYYAR</w:t>
            </w:r>
          </w:p>
        </w:tc>
        <w:tc>
          <w:tcPr>
            <w:tcW w:w="100" w:type="dxa"/>
            <w:vAlign w:val="bottom"/>
          </w:tcPr>
          <w:p>
            <w:pPr>
              <w:spacing w:after="0"/>
              <w:rPr>
                <w:sz w:val="24"/>
                <w:szCs w:val="24"/>
                <w:color w:val="auto"/>
              </w:rPr>
            </w:pP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29, 2026</w:t>
            </w:r>
          </w:p>
        </w:tc>
      </w:tr>
      <w:tr>
        <w:trPr>
          <w:trHeight w:val="176"/>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Shekar Ayyar</w:t>
            </w: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91"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RICHARD BALDRIDGE</w:t>
            </w:r>
          </w:p>
        </w:tc>
        <w:tc>
          <w:tcPr>
            <w:tcW w:w="27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9"/>
              </w:rPr>
              <w:t>May 29, 2026</w:t>
            </w:r>
          </w:p>
        </w:tc>
      </w:tr>
      <w:tr>
        <w:trPr>
          <w:trHeight w:val="176"/>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Baldridge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BARBARA FRENKEL</w:t>
            </w:r>
          </w:p>
        </w:tc>
        <w:tc>
          <w:tcPr>
            <w:tcW w:w="27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9"/>
              </w:rPr>
              <w:t>May 29, 2026</w:t>
            </w:r>
          </w:p>
        </w:tc>
      </w:tr>
      <w:tr>
        <w:trPr>
          <w:trHeight w:val="176"/>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Barbara Frenkel</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WILLIAM LAPLANTE</w:t>
            </w:r>
          </w:p>
        </w:tc>
        <w:tc>
          <w:tcPr>
            <w:tcW w:w="27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9"/>
              </w:rPr>
              <w:t>May 29, 2026</w:t>
            </w:r>
          </w:p>
        </w:tc>
      </w:tr>
      <w:tr>
        <w:trPr>
          <w:trHeight w:val="176"/>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William LaPlante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SEAN PAK</w:t>
            </w:r>
          </w:p>
        </w:tc>
        <w:tc>
          <w:tcPr>
            <w:tcW w:w="27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9"/>
              </w:rPr>
              <w:t>May 29, 2026</w:t>
            </w:r>
          </w:p>
        </w:tc>
      </w:tr>
      <w:tr>
        <w:trPr>
          <w:trHeight w:val="176"/>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Sean Pak</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MICHAEL PAULL</w:t>
            </w:r>
          </w:p>
        </w:tc>
        <w:tc>
          <w:tcPr>
            <w:tcW w:w="27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9"/>
              </w:rPr>
              <w:t>May 29, 2026</w:t>
            </w:r>
          </w:p>
        </w:tc>
      </w:tr>
      <w:tr>
        <w:trPr>
          <w:trHeight w:val="176"/>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Paull</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JOHN STENBIT</w:t>
            </w:r>
          </w:p>
        </w:tc>
        <w:tc>
          <w:tcPr>
            <w:tcW w:w="27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9"/>
              </w:rPr>
              <w:t>May 29, 2026</w:t>
            </w:r>
          </w:p>
        </w:tc>
      </w:tr>
      <w:tr>
        <w:trPr>
          <w:trHeight w:val="176"/>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John Stenbit</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THERESA WISE</w:t>
            </w:r>
          </w:p>
        </w:tc>
        <w:tc>
          <w:tcPr>
            <w:tcW w:w="27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9"/>
              </w:rPr>
              <w:t>May 29, 2026</w:t>
            </w:r>
          </w:p>
        </w:tc>
      </w:tr>
      <w:tr>
        <w:trPr>
          <w:trHeight w:val="176"/>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Theresa Wise</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JINHY YOON</w:t>
            </w:r>
          </w:p>
        </w:tc>
        <w:tc>
          <w:tcPr>
            <w:tcW w:w="27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9"/>
              </w:rPr>
              <w:t>May 29, 2026</w:t>
            </w:r>
          </w:p>
        </w:tc>
      </w:tr>
      <w:tr>
        <w:trPr>
          <w:trHeight w:val="176"/>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Jinhy Yoon</w:t>
            </w:r>
          </w:p>
        </w:tc>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391" w:right="1440" w:bottom="1440" w:gutter="0" w:footer="0" w:header="0"/>
        </w:sectPr>
      </w:pPr>
    </w:p>
    <w:bookmarkStart w:id="35" w:name="page36"/>
    <w:bookmarkEnd w:id="35"/>
    <w:tbl>
      <w:tblPr>
        <w:tblLayout w:type="fixed"/>
        <w:tblInd w:w="14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90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Exhibit 5.1</w:t>
            </w:r>
          </w:p>
        </w:tc>
      </w:tr>
      <w:tr>
        <w:trPr>
          <w:trHeight w:val="350"/>
        </w:trPr>
        <w:tc>
          <w:tcPr>
            <w:tcW w:w="3700" w:type="dxa"/>
            <w:vAlign w:val="bottom"/>
          </w:tcPr>
          <w:p>
            <w:pPr>
              <w:spacing w:after="0"/>
              <w:rPr>
                <w:sz w:val="24"/>
                <w:szCs w:val="24"/>
                <w:color w:val="auto"/>
              </w:rPr>
            </w:pPr>
          </w:p>
        </w:tc>
        <w:tc>
          <w:tcPr>
            <w:tcW w:w="5040" w:type="dxa"/>
            <w:vAlign w:val="bottom"/>
            <w:gridSpan w:val="2"/>
          </w:tcPr>
          <w:p>
            <w:pPr>
              <w:ind w:left="2160"/>
              <w:spacing w:after="0"/>
              <w:rPr>
                <w:sz w:val="20"/>
                <w:szCs w:val="20"/>
                <w:color w:val="auto"/>
              </w:rPr>
            </w:pPr>
            <w:r>
              <w:rPr>
                <w:rFonts w:ascii="Times New Roman" w:cs="Times New Roman" w:eastAsia="Times New Roman" w:hAnsi="Times New Roman"/>
                <w:sz w:val="14"/>
                <w:szCs w:val="14"/>
                <w:color w:val="auto"/>
              </w:rPr>
              <w:t>12670 High Bluff Drive</w:t>
            </w:r>
          </w:p>
        </w:tc>
      </w:tr>
      <w:tr>
        <w:trPr>
          <w:trHeight w:val="171"/>
        </w:trPr>
        <w:tc>
          <w:tcPr>
            <w:tcW w:w="3700" w:type="dxa"/>
            <w:vAlign w:val="bottom"/>
          </w:tcPr>
          <w:p>
            <w:pPr>
              <w:spacing w:after="0"/>
              <w:rPr>
                <w:sz w:val="14"/>
                <w:szCs w:val="14"/>
                <w:color w:val="auto"/>
              </w:rPr>
            </w:pPr>
          </w:p>
        </w:tc>
        <w:tc>
          <w:tcPr>
            <w:tcW w:w="5040" w:type="dxa"/>
            <w:vAlign w:val="bottom"/>
            <w:gridSpan w:val="2"/>
          </w:tcPr>
          <w:p>
            <w:pPr>
              <w:ind w:left="2160"/>
              <w:spacing w:after="0"/>
              <w:rPr>
                <w:sz w:val="20"/>
                <w:szCs w:val="20"/>
                <w:color w:val="auto"/>
              </w:rPr>
            </w:pPr>
            <w:r>
              <w:rPr>
                <w:rFonts w:ascii="Times New Roman" w:cs="Times New Roman" w:eastAsia="Times New Roman" w:hAnsi="Times New Roman"/>
                <w:sz w:val="14"/>
                <w:szCs w:val="14"/>
                <w:color w:val="auto"/>
              </w:rPr>
              <w:t>San Diego, California 92130</w:t>
            </w:r>
          </w:p>
        </w:tc>
      </w:tr>
      <w:tr>
        <w:trPr>
          <w:trHeight w:val="182"/>
        </w:trPr>
        <w:tc>
          <w:tcPr>
            <w:tcW w:w="3700" w:type="dxa"/>
            <w:vAlign w:val="bottom"/>
          </w:tcPr>
          <w:p>
            <w:pPr>
              <w:spacing w:after="0"/>
              <w:rPr>
                <w:sz w:val="15"/>
                <w:szCs w:val="15"/>
                <w:color w:val="auto"/>
              </w:rPr>
            </w:pPr>
          </w:p>
        </w:tc>
        <w:tc>
          <w:tcPr>
            <w:tcW w:w="5040" w:type="dxa"/>
            <w:vAlign w:val="bottom"/>
            <w:gridSpan w:val="2"/>
          </w:tcPr>
          <w:p>
            <w:pPr>
              <w:ind w:left="2160"/>
              <w:spacing w:after="0"/>
              <w:rPr>
                <w:sz w:val="20"/>
                <w:szCs w:val="20"/>
                <w:color w:val="auto"/>
              </w:rPr>
            </w:pPr>
            <w:r>
              <w:rPr>
                <w:rFonts w:ascii="Times New Roman" w:cs="Times New Roman" w:eastAsia="Times New Roman" w:hAnsi="Times New Roman"/>
                <w:sz w:val="14"/>
                <w:szCs w:val="14"/>
                <w:color w:val="auto"/>
              </w:rPr>
              <w:t>Tel: +1.858.523.5400 Fax: +1.858.523.5450</w:t>
            </w:r>
          </w:p>
        </w:tc>
      </w:tr>
      <w:tr>
        <w:trPr>
          <w:trHeight w:val="185"/>
        </w:trPr>
        <w:tc>
          <w:tcPr>
            <w:tcW w:w="3700" w:type="dxa"/>
            <w:vAlign w:val="bottom"/>
          </w:tcPr>
          <w:p>
            <w:pPr>
              <w:spacing w:after="0"/>
              <w:rPr>
                <w:sz w:val="16"/>
                <w:szCs w:val="16"/>
                <w:color w:val="auto"/>
              </w:rPr>
            </w:pP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www.lw.com</w:t>
            </w:r>
          </w:p>
        </w:tc>
        <w:tc>
          <w:tcPr>
            <w:tcW w:w="1900" w:type="dxa"/>
            <w:vAlign w:val="bottom"/>
          </w:tcPr>
          <w:p>
            <w:pPr>
              <w:spacing w:after="0"/>
              <w:rPr>
                <w:sz w:val="16"/>
                <w:szCs w:val="16"/>
                <w:color w:val="auto"/>
              </w:rPr>
            </w:pPr>
          </w:p>
        </w:tc>
      </w:tr>
      <w:tr>
        <w:trPr>
          <w:trHeight w:val="225"/>
        </w:trPr>
        <w:tc>
          <w:tcPr>
            <w:tcW w:w="3700" w:type="dxa"/>
            <w:vAlign w:val="bottom"/>
          </w:tcPr>
          <w:p>
            <w:pPr>
              <w:spacing w:after="0"/>
              <w:rPr>
                <w:sz w:val="19"/>
                <w:szCs w:val="19"/>
                <w:color w:val="auto"/>
              </w:rPr>
            </w:pPr>
          </w:p>
        </w:tc>
        <w:tc>
          <w:tcPr>
            <w:tcW w:w="5040" w:type="dxa"/>
            <w:vAlign w:val="bottom"/>
            <w:gridSpan w:val="2"/>
          </w:tcPr>
          <w:p>
            <w:pPr>
              <w:ind w:left="2160"/>
              <w:spacing w:after="0"/>
              <w:rPr>
                <w:sz w:val="20"/>
                <w:szCs w:val="20"/>
                <w:color w:val="auto"/>
              </w:rPr>
            </w:pPr>
            <w:r>
              <w:rPr>
                <w:rFonts w:ascii="Times New Roman" w:cs="Times New Roman" w:eastAsia="Times New Roman" w:hAnsi="Times New Roman"/>
                <w:sz w:val="14"/>
                <w:szCs w:val="14"/>
                <w:color w:val="auto"/>
              </w:rPr>
              <w:t>FIRM / AFFILIATE OFFICES</w:t>
            </w:r>
          </w:p>
        </w:tc>
      </w:tr>
      <w:tr>
        <w:trPr>
          <w:trHeight w:val="179"/>
        </w:trPr>
        <w:tc>
          <w:tcPr>
            <w:tcW w:w="3700" w:type="dxa"/>
            <w:vAlign w:val="bottom"/>
          </w:tcPr>
          <w:p>
            <w:pPr>
              <w:spacing w:after="0"/>
              <w:rPr>
                <w:sz w:val="15"/>
                <w:szCs w:val="15"/>
                <w:color w:val="auto"/>
              </w:rPr>
            </w:pP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Austin</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Milan</w:t>
            </w:r>
          </w:p>
        </w:tc>
      </w:tr>
      <w:tr>
        <w:trPr>
          <w:trHeight w:val="171"/>
        </w:trPr>
        <w:tc>
          <w:tcPr>
            <w:tcW w:w="3700" w:type="dxa"/>
            <w:vAlign w:val="bottom"/>
          </w:tcPr>
          <w:p>
            <w:pPr>
              <w:spacing w:after="0"/>
              <w:rPr>
                <w:sz w:val="14"/>
                <w:szCs w:val="14"/>
                <w:color w:val="auto"/>
              </w:rPr>
            </w:pP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Beijing</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Munich</w:t>
            </w:r>
          </w:p>
        </w:tc>
      </w:tr>
      <w:tr>
        <w:trPr>
          <w:trHeight w:val="171"/>
        </w:trPr>
        <w:tc>
          <w:tcPr>
            <w:tcW w:w="3700" w:type="dxa"/>
            <w:vAlign w:val="bottom"/>
          </w:tcPr>
          <w:p>
            <w:pPr>
              <w:spacing w:after="0"/>
              <w:rPr>
                <w:sz w:val="14"/>
                <w:szCs w:val="14"/>
                <w:color w:val="auto"/>
              </w:rPr>
            </w:pP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Boston</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York</w:t>
            </w:r>
          </w:p>
        </w:tc>
      </w:tr>
      <w:tr>
        <w:trPr>
          <w:trHeight w:val="171"/>
        </w:trPr>
        <w:tc>
          <w:tcPr>
            <w:tcW w:w="3700" w:type="dxa"/>
            <w:vAlign w:val="bottom"/>
          </w:tcPr>
          <w:p>
            <w:pPr>
              <w:spacing w:after="0"/>
              <w:rPr>
                <w:sz w:val="14"/>
                <w:szCs w:val="14"/>
                <w:color w:val="auto"/>
              </w:rPr>
            </w:pP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Brussels</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Orange County</w:t>
            </w:r>
          </w:p>
        </w:tc>
      </w:tr>
      <w:tr>
        <w:trPr>
          <w:trHeight w:val="171"/>
        </w:trPr>
        <w:tc>
          <w:tcPr>
            <w:tcW w:w="3700" w:type="dxa"/>
            <w:vAlign w:val="bottom"/>
          </w:tcPr>
          <w:p>
            <w:pPr>
              <w:spacing w:after="0"/>
              <w:rPr>
                <w:sz w:val="14"/>
                <w:szCs w:val="14"/>
                <w:color w:val="auto"/>
              </w:rPr>
            </w:pP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Chicago</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Paris</w:t>
            </w:r>
          </w:p>
        </w:tc>
      </w:tr>
      <w:tr>
        <w:trPr>
          <w:trHeight w:val="171"/>
        </w:trPr>
        <w:tc>
          <w:tcPr>
            <w:tcW w:w="3700" w:type="dxa"/>
            <w:vAlign w:val="bottom"/>
          </w:tcPr>
          <w:p>
            <w:pPr>
              <w:spacing w:after="0"/>
              <w:rPr>
                <w:sz w:val="14"/>
                <w:szCs w:val="14"/>
                <w:color w:val="auto"/>
              </w:rPr>
            </w:pP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Dubai</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Riyadh</w:t>
            </w:r>
          </w:p>
        </w:tc>
      </w:tr>
      <w:tr>
        <w:trPr>
          <w:trHeight w:val="17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May 29, 2026</w:t>
            </w: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Düsseldorf</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San Diego</w:t>
            </w:r>
          </w:p>
        </w:tc>
      </w:tr>
      <w:tr>
        <w:trPr>
          <w:trHeight w:val="171"/>
        </w:trPr>
        <w:tc>
          <w:tcPr>
            <w:tcW w:w="3700" w:type="dxa"/>
            <w:vAlign w:val="bottom"/>
          </w:tcPr>
          <w:p>
            <w:pPr>
              <w:spacing w:after="0"/>
              <w:rPr>
                <w:sz w:val="14"/>
                <w:szCs w:val="14"/>
                <w:color w:val="auto"/>
              </w:rPr>
            </w:pP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Frankfurt</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San Francisco</w:t>
            </w:r>
          </w:p>
        </w:tc>
      </w:tr>
      <w:tr>
        <w:trPr>
          <w:trHeight w:val="17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Viasat, Inc.</w:t>
            </w: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Hamburg</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Seoul</w:t>
            </w:r>
          </w:p>
        </w:tc>
      </w:tr>
      <w:tr>
        <w:trPr>
          <w:trHeight w:val="17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6155 El Camino Real</w:t>
            </w: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Hong Kong</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Silicon Valley</w:t>
            </w:r>
          </w:p>
        </w:tc>
      </w:tr>
      <w:tr>
        <w:trPr>
          <w:trHeight w:val="17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Carlsbad, California 92009</w:t>
            </w: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Houston</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Singapore</w:t>
            </w:r>
          </w:p>
        </w:tc>
      </w:tr>
      <w:tr>
        <w:trPr>
          <w:trHeight w:val="171"/>
        </w:trPr>
        <w:tc>
          <w:tcPr>
            <w:tcW w:w="3700" w:type="dxa"/>
            <w:vAlign w:val="bottom"/>
          </w:tcPr>
          <w:p>
            <w:pPr>
              <w:spacing w:after="0"/>
              <w:rPr>
                <w:sz w:val="14"/>
                <w:szCs w:val="14"/>
                <w:color w:val="auto"/>
              </w:rPr>
            </w:pP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London</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Tel Aviv</w:t>
            </w:r>
          </w:p>
        </w:tc>
      </w:tr>
      <w:tr>
        <w:trPr>
          <w:trHeight w:val="171"/>
        </w:trPr>
        <w:tc>
          <w:tcPr>
            <w:tcW w:w="3700" w:type="dxa"/>
            <w:vAlign w:val="bottom"/>
          </w:tcPr>
          <w:p>
            <w:pPr>
              <w:spacing w:after="0"/>
              <w:rPr>
                <w:sz w:val="14"/>
                <w:szCs w:val="14"/>
                <w:color w:val="auto"/>
              </w:rPr>
            </w:pP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Los Angeles</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Tokyo</w:t>
            </w:r>
          </w:p>
        </w:tc>
      </w:tr>
      <w:tr>
        <w:trPr>
          <w:trHeight w:val="185"/>
        </w:trPr>
        <w:tc>
          <w:tcPr>
            <w:tcW w:w="3700" w:type="dxa"/>
            <w:vAlign w:val="bottom"/>
          </w:tcPr>
          <w:p>
            <w:pPr>
              <w:spacing w:after="0"/>
              <w:rPr>
                <w:sz w:val="16"/>
                <w:szCs w:val="16"/>
                <w:color w:val="auto"/>
              </w:rPr>
            </w:pPr>
          </w:p>
        </w:tc>
        <w:tc>
          <w:tcPr>
            <w:tcW w:w="314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Madrid</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-1522095</wp:posOffset>
            </wp:positionV>
            <wp:extent cx="1666240" cy="170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666240" cy="170180"/>
                    </a:xfrm>
                    <a:prstGeom prst="rect">
                      <a:avLst/>
                    </a:prstGeom>
                    <a:noFill/>
                  </pic:spPr>
                </pic:pic>
              </a:graphicData>
            </a:graphic>
          </wp:anchor>
        </w:drawing>
      </w:r>
    </w:p>
    <w:p>
      <w:pPr>
        <w:spacing w:after="0" w:line="159" w:lineRule="exact"/>
        <w:rPr>
          <w:sz w:val="20"/>
          <w:szCs w:val="20"/>
          <w:color w:val="auto"/>
        </w:rPr>
      </w:pPr>
    </w:p>
    <w:p>
      <w:pPr>
        <w:ind w:left="140"/>
        <w:spacing w:after="0"/>
        <w:tabs>
          <w:tab w:leader="none" w:pos="46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Registration Statement on Form S-3</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 the addressees set forth above:</w:t>
      </w:r>
    </w:p>
    <w:p>
      <w:pPr>
        <w:spacing w:after="0" w:line="92" w:lineRule="exact"/>
        <w:rPr>
          <w:sz w:val="20"/>
          <w:szCs w:val="20"/>
          <w:color w:val="auto"/>
        </w:rPr>
      </w:pPr>
    </w:p>
    <w:p>
      <w:pPr>
        <w:ind w:left="140" w:right="159" w:firstLine="349"/>
        <w:spacing w:after="0" w:line="259" w:lineRule="auto"/>
        <w:rPr>
          <w:sz w:val="20"/>
          <w:szCs w:val="20"/>
          <w:color w:val="auto"/>
        </w:rPr>
      </w:pPr>
      <w:r>
        <w:rPr>
          <w:rFonts w:ascii="Times New Roman" w:cs="Times New Roman" w:eastAsia="Times New Roman" w:hAnsi="Times New Roman"/>
          <w:sz w:val="14"/>
          <w:szCs w:val="14"/>
          <w:color w:val="auto"/>
        </w:rPr>
        <w:t>We have acted as special counsel to Viasat,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its filing on the date hereof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including a base 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which provides that it will be supplemented by one or more prospectus supplements (each such prospectus supplement, together with the Base Prospectus, a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relating to the registration for issue and sale by the Company of (i) shares of the Company’s common stock, $0.0001 par value per share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(ii) shares of one or more series of the Company’s preferred stock, $0.0001 par value per share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 (iii) one or more series of the Company’s debt securities (collectively,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to be issued under an indenture to be entered into between the Company, as issuer, and a trustee (a form of which is included as Exhibit 4.3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cs="Times New Roman" w:eastAsia="Times New Roman" w:hAnsi="Times New Roman"/>
          <w:sz w:val="14"/>
          <w:szCs w:val="14"/>
          <w:b w:val="1"/>
          <w:bCs w:val="1"/>
          <w:i w:val="1"/>
          <w:iCs w:val="1"/>
          <w:color w:val="auto"/>
        </w:rPr>
        <w:t>Applicable Indenture</w:t>
      </w:r>
      <w:r>
        <w:rPr>
          <w:rFonts w:ascii="Times New Roman" w:cs="Times New Roman" w:eastAsia="Times New Roman" w:hAnsi="Times New Roman"/>
          <w:sz w:val="14"/>
          <w:szCs w:val="14"/>
          <w:color w:val="auto"/>
        </w:rPr>
        <w:t>”), (iv) depositary shares (“</w:t>
      </w:r>
      <w:r>
        <w:rPr>
          <w:rFonts w:ascii="Times New Roman" w:cs="Times New Roman" w:eastAsia="Times New Roman" w:hAnsi="Times New Roman"/>
          <w:sz w:val="14"/>
          <w:szCs w:val="14"/>
          <w:b w:val="1"/>
          <w:bCs w:val="1"/>
          <w:i w:val="1"/>
          <w:iCs w:val="1"/>
          <w:color w:val="auto"/>
        </w:rPr>
        <w:t>Depositary Shares</w:t>
      </w:r>
      <w:r>
        <w:rPr>
          <w:rFonts w:ascii="Times New Roman" w:cs="Times New Roman" w:eastAsia="Times New Roman" w:hAnsi="Times New Roman"/>
          <w:sz w:val="14"/>
          <w:szCs w:val="14"/>
          <w:color w:val="auto"/>
        </w:rPr>
        <w:t>”), and (v) warrants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The Common Stock, Preferred Stock, Debt Securities, Depositary Shares and Warrants are referred to herein collectively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140" w:right="199" w:firstLine="349"/>
        <w:spacing w:after="0" w:line="273"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136" w:lineRule="exact"/>
        <w:rPr>
          <w:sz w:val="20"/>
          <w:szCs w:val="20"/>
          <w:color w:val="auto"/>
        </w:rPr>
      </w:pPr>
    </w:p>
    <w:p>
      <w:pPr>
        <w:ind w:left="140" w:right="279" w:firstLine="349"/>
        <w:spacing w:after="0" w:line="262" w:lineRule="auto"/>
        <w:rPr>
          <w:sz w:val="20"/>
          <w:szCs w:val="20"/>
          <w:color w:val="auto"/>
        </w:rPr>
      </w:pPr>
      <w:r>
        <w:rPr>
          <w:rFonts w:ascii="Times New Roman" w:cs="Times New Roman" w:eastAsia="Times New Roman" w:hAnsi="Times New Roman"/>
          <w:sz w:val="14"/>
          <w:szCs w:val="14"/>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with respect to the opinions set forth in 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ectPr>
          <w:pgSz w:w="11900" w:h="16838" w:orient="portrait"/>
          <w:cols w:equalWidth="0" w:num="1">
            <w:col w:w="9019"/>
          </w:cols>
          <w:pgMar w:left="1440" w:top="123" w:right="1440" w:bottom="1440" w:gutter="0" w:footer="0" w:header="0"/>
        </w:sectPr>
      </w:pPr>
    </w:p>
    <w:bookmarkStart w:id="36" w:name="page37"/>
    <w:bookmarkEnd w:id="36"/>
    <w:p>
      <w:pPr>
        <w:ind w:left="1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May 29, 2026</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129540</wp:posOffset>
            </wp:positionV>
            <wp:extent cx="1101725" cy="819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101725" cy="819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Subject to the foregoing and the other matters set forth herein, it is our opinion that, as of the date hereof:</w:t>
      </w:r>
    </w:p>
    <w:p>
      <w:pPr>
        <w:spacing w:after="0" w:line="182" w:lineRule="exact"/>
        <w:rPr>
          <w:sz w:val="20"/>
          <w:szCs w:val="20"/>
          <w:color w:val="auto"/>
        </w:rPr>
      </w:pPr>
    </w:p>
    <w:p>
      <w:pPr>
        <w:ind w:left="140" w:right="159" w:firstLine="344"/>
        <w:spacing w:after="0" w:line="262" w:lineRule="auto"/>
        <w:tabs>
          <w:tab w:leader="none" w:pos="6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44" w:lineRule="exact"/>
        <w:rPr>
          <w:rFonts w:ascii="Times New Roman" w:cs="Times New Roman" w:eastAsia="Times New Roman" w:hAnsi="Times New Roman"/>
          <w:sz w:val="14"/>
          <w:szCs w:val="14"/>
          <w:color w:val="auto"/>
        </w:rPr>
      </w:pPr>
    </w:p>
    <w:p>
      <w:pPr>
        <w:ind w:left="140" w:right="199" w:firstLine="344"/>
        <w:spacing w:after="0" w:line="261" w:lineRule="auto"/>
        <w:tabs>
          <w:tab w:leader="none" w:pos="6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 series of Preferred Stock has been duly established in accordance with the terms of the Company’s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45" w:lineRule="exact"/>
        <w:rPr>
          <w:rFonts w:ascii="Times New Roman" w:cs="Times New Roman" w:eastAsia="Times New Roman" w:hAnsi="Times New Roman"/>
          <w:sz w:val="14"/>
          <w:szCs w:val="14"/>
          <w:color w:val="auto"/>
        </w:rPr>
      </w:pPr>
    </w:p>
    <w:p>
      <w:pPr>
        <w:ind w:left="140" w:right="219" w:firstLine="344"/>
        <w:spacing w:after="0" w:line="262" w:lineRule="auto"/>
        <w:tabs>
          <w:tab w:leader="none" w:pos="6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144" w:lineRule="exact"/>
        <w:rPr>
          <w:rFonts w:ascii="Times New Roman" w:cs="Times New Roman" w:eastAsia="Times New Roman" w:hAnsi="Times New Roman"/>
          <w:sz w:val="14"/>
          <w:szCs w:val="14"/>
          <w:color w:val="auto"/>
        </w:rPr>
      </w:pPr>
    </w:p>
    <w:p>
      <w:pPr>
        <w:ind w:left="140" w:right="159" w:firstLine="344"/>
        <w:spacing w:after="0" w:line="267" w:lineRule="auto"/>
        <w:tabs>
          <w:tab w:leader="none" w:pos="6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deposit agreement has been duly authorized, executed and delivered by all necessary corporate action of the Company, and when the specific terms of a particular issuance of Depositary Shares have been duly established in accordance with the terms of the applicable deposit agreement and authorized by all necessary corporate action of the Company, and such Depositary Shares have been duly executed, authenticated, issued and</w:t>
      </w:r>
    </w:p>
    <w:p>
      <w:pPr>
        <w:sectPr>
          <w:pgSz w:w="11900" w:h="16838" w:orient="portrait"/>
          <w:cols w:equalWidth="0" w:num="1">
            <w:col w:w="9019"/>
          </w:cols>
          <w:pgMar w:left="1440" w:top="241" w:right="1440" w:bottom="1440" w:gutter="0" w:footer="0" w:header="0"/>
        </w:sectPr>
      </w:pPr>
    </w:p>
    <w:bookmarkStart w:id="37" w:name="page38"/>
    <w:bookmarkEnd w:id="37"/>
    <w:p>
      <w:pPr>
        <w:ind w:left="1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May 29, 2026</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129540</wp:posOffset>
            </wp:positionV>
            <wp:extent cx="1101725" cy="81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101725" cy="819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40" w:right="279"/>
        <w:spacing w:after="0" w:line="273" w:lineRule="auto"/>
        <w:rPr>
          <w:sz w:val="20"/>
          <w:szCs w:val="20"/>
          <w:color w:val="auto"/>
        </w:rPr>
      </w:pPr>
      <w:r>
        <w:rPr>
          <w:rFonts w:ascii="Times New Roman" w:cs="Times New Roman" w:eastAsia="Times New Roman" w:hAnsi="Times New Roman"/>
          <w:sz w:val="14"/>
          <w:szCs w:val="14"/>
          <w:color w:val="auto"/>
        </w:rPr>
        <w:t>delivered against payment therefor in accordance with the terms of the applicable deposit agreement and in the manner contemplated by the applicable Prospectus and by such corporate action (assuming the underlying securities have been validly issued and deposited with the depositary), such Depositary Shares will be the legally valid and binding obligations of the Company, enforceable against the Company in accordance with their terms.</w:t>
      </w:r>
    </w:p>
    <w:p>
      <w:pPr>
        <w:spacing w:after="0" w:line="136" w:lineRule="exact"/>
        <w:rPr>
          <w:sz w:val="20"/>
          <w:szCs w:val="20"/>
          <w:color w:val="auto"/>
        </w:rPr>
      </w:pPr>
    </w:p>
    <w:p>
      <w:pPr>
        <w:ind w:left="140" w:right="259" w:firstLine="344"/>
        <w:spacing w:after="0" w:line="261" w:lineRule="auto"/>
        <w:tabs>
          <w:tab w:leader="none" w:pos="63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45" w:lineRule="exact"/>
        <w:rPr>
          <w:sz w:val="20"/>
          <w:szCs w:val="20"/>
          <w:color w:val="auto"/>
        </w:rPr>
      </w:pPr>
    </w:p>
    <w:p>
      <w:pPr>
        <w:ind w:left="140" w:right="139" w:firstLine="349"/>
        <w:spacing w:after="0" w:line="257" w:lineRule="auto"/>
        <w:rPr>
          <w:sz w:val="20"/>
          <w:szCs w:val="20"/>
          <w:color w:val="auto"/>
        </w:rPr>
      </w:pPr>
      <w:r>
        <w:rPr>
          <w:rFonts w:ascii="Times New Roman" w:cs="Times New Roman" w:eastAsia="Times New Roman" w:hAnsi="Times New Roman"/>
          <w:sz w:val="14"/>
          <w:szCs w:val="14"/>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ectPr>
          <w:pgSz w:w="11900" w:h="16838" w:orient="portrait"/>
          <w:cols w:equalWidth="0" w:num="1">
            <w:col w:w="9019"/>
          </w:cols>
          <w:pgMar w:left="1440" w:top="241" w:right="1440" w:bottom="1440" w:gutter="0" w:footer="0" w:header="0"/>
        </w:sectPr>
      </w:pPr>
    </w:p>
    <w:bookmarkStart w:id="38" w:name="page39"/>
    <w:bookmarkEnd w:id="38"/>
    <w:p>
      <w:pPr>
        <w:ind w:left="1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May 29, 2026</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129540</wp:posOffset>
            </wp:positionV>
            <wp:extent cx="1101725" cy="81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101725" cy="819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40" w:right="159" w:firstLine="349"/>
        <w:spacing w:after="0" w:line="260" w:lineRule="auto"/>
        <w:rPr>
          <w:sz w:val="20"/>
          <w:szCs w:val="20"/>
          <w:color w:val="auto"/>
        </w:rPr>
      </w:pPr>
      <w:r>
        <w:rPr>
          <w:rFonts w:ascii="Times New Roman" w:cs="Times New Roman" w:eastAsia="Times New Roman" w:hAnsi="Times New Roman"/>
          <w:sz w:val="14"/>
          <w:szCs w:val="14"/>
          <w:color w:val="auto"/>
        </w:rPr>
        <w:t>With your consent, we have assumed (a) that each of the Debt Securities, Depositary Shares and Warrants, and the Applicable Indenture, deposit agreements and warrant agreements governing such Securities (collectively, the “</w:t>
      </w:r>
      <w:r>
        <w:rPr>
          <w:rFonts w:ascii="Times New Roman" w:cs="Times New Roman" w:eastAsia="Times New Roman" w:hAnsi="Times New Roman"/>
          <w:sz w:val="14"/>
          <w:szCs w:val="14"/>
          <w:b w:val="1"/>
          <w:bCs w:val="1"/>
          <w:i w:val="1"/>
          <w:iCs w:val="1"/>
          <w:color w:val="auto"/>
        </w:rPr>
        <w:t>Documents</w:t>
      </w:r>
      <w:r>
        <w:rPr>
          <w:rFonts w:ascii="Times New Roman" w:cs="Times New Roman" w:eastAsia="Times New Roman" w:hAnsi="Times New Roman"/>
          <w:sz w:val="14"/>
          <w:szCs w:val="14"/>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47" w:lineRule="exact"/>
        <w:rPr>
          <w:sz w:val="20"/>
          <w:szCs w:val="20"/>
          <w:color w:val="auto"/>
        </w:rPr>
      </w:pPr>
    </w:p>
    <w:p>
      <w:pPr>
        <w:jc w:val="both"/>
        <w:ind w:left="140" w:right="219" w:firstLine="349"/>
        <w:spacing w:after="0" w:line="267" w:lineRule="auto"/>
        <w:rPr>
          <w:sz w:val="20"/>
          <w:szCs w:val="20"/>
          <w:color w:val="auto"/>
        </w:rPr>
      </w:pPr>
      <w:r>
        <w:rPr>
          <w:rFonts w:ascii="Times New Roman" w:cs="Times New Roman" w:eastAsia="Times New Roman" w:hAnsi="Times New Roman"/>
          <w:sz w:val="14"/>
          <w:szCs w:val="14"/>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Sincerely,</w:t>
      </w:r>
    </w:p>
    <w:p>
      <w:pPr>
        <w:spacing w:after="0" w:line="1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Latham &amp; Watkins LLP</w:t>
      </w:r>
    </w:p>
    <w:p>
      <w:pPr>
        <w:sectPr>
          <w:pgSz w:w="11900" w:h="16838" w:orient="portrait"/>
          <w:cols w:equalWidth="0" w:num="1">
            <w:col w:w="9019"/>
          </w:cols>
          <w:pgMar w:left="1440" w:top="241" w:right="1440" w:bottom="1440" w:gutter="0" w:footer="0" w:header="0"/>
        </w:sectPr>
      </w:pPr>
    </w:p>
    <w:bookmarkStart w:id="39" w:name="page40"/>
    <w:bookmarkEnd w:id="39"/>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82" w:lineRule="exact"/>
        <w:rPr>
          <w:sz w:val="20"/>
          <w:szCs w:val="20"/>
          <w:color w:val="auto"/>
        </w:rPr>
      </w:pPr>
    </w:p>
    <w:p>
      <w:pPr>
        <w:ind w:left="140" w:right="179"/>
        <w:spacing w:after="0" w:line="267"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Viasat, Inc. of our report dated May 29, 2026 relating to the financial statements, financial statement schedule and the effectiveness of internal control over financial reporting, which appears in Viasat Inc.’s Annual Report on Form 10-K for the year ended March 31, 2026. We also consent to the reference to us under the heading “Experts” in such Registration Statement.</w:t>
      </w:r>
    </w:p>
    <w:p>
      <w:pPr>
        <w:spacing w:after="0" w:line="1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May 29, 2026</w:t>
      </w:r>
    </w:p>
    <w:p>
      <w:pPr>
        <w:sectPr>
          <w:pgSz w:w="11900" w:h="16838" w:orient="portrait"/>
          <w:cols w:equalWidth="0" w:num="1">
            <w:col w:w="9019"/>
          </w:cols>
          <w:pgMar w:left="1440" w:top="123" w:right="1440" w:bottom="1440" w:gutter="0" w:footer="0" w:header="0"/>
        </w:sectPr>
      </w:pPr>
    </w:p>
    <w:bookmarkStart w:id="40" w:name="page41"/>
    <w:bookmarkEnd w:id="40"/>
    <w:p>
      <w:pPr>
        <w:spacing w:after="0" w:line="23" w:lineRule="exact"/>
        <w:rPr>
          <w:sz w:val="20"/>
          <w:szCs w:val="20"/>
          <w:color w:val="auto"/>
        </w:rPr>
      </w:pPr>
    </w:p>
    <w:p>
      <w:pPr>
        <w:ind w:left="3460"/>
        <w:spacing w:after="0"/>
        <w:rPr>
          <w:sz w:val="20"/>
          <w:szCs w:val="20"/>
          <w:color w:val="auto"/>
        </w:rPr>
      </w:pPr>
      <w:r>
        <w:rPr>
          <w:rFonts w:ascii="Arial" w:cs="Arial" w:eastAsia="Arial" w:hAnsi="Arial"/>
          <w:sz w:val="29"/>
          <w:szCs w:val="29"/>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S-3</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VIASAT INC</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right"/>
              <w:ind w:right="54"/>
              <w:spacing w:after="0" w:line="193"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14"/>
              <w:spacing w:after="0" w:line="193"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3"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line="193"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94"/>
              <w:spacing w:after="0" w:line="193"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gridSpan w:val="7"/>
          </w:tcPr>
          <w:p>
            <w:pPr>
              <w:jc w:val="right"/>
              <w:ind w:right="12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93"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3"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3"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840" w:type="dxa"/>
            <w:vAlign w:val="bottom"/>
            <w:vMerge w:val="restart"/>
            <w:shd w:val="clear" w:color="auto" w:fill="E7E7E2"/>
          </w:tcPr>
          <w:p>
            <w:pPr>
              <w:ind w:left="20"/>
              <w:spacing w:after="0" w:line="193"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3"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3" w:lineRule="exact"/>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line="193" w:lineRule="exact"/>
              <w:rPr>
                <w:sz w:val="20"/>
                <w:szCs w:val="20"/>
                <w:color w:val="auto"/>
              </w:rPr>
            </w:pPr>
            <w:r>
              <w:rPr>
                <w:rFonts w:ascii="Arial" w:cs="Arial" w:eastAsia="Arial" w:hAnsi="Arial"/>
                <w:sz w:val="17"/>
                <w:szCs w:val="17"/>
                <w:color w:val="auto"/>
                <w:w w:val="98"/>
              </w:rPr>
              <w:t>0.0001 per</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93"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3" w:lineRule="exact"/>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3"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840" w:type="dxa"/>
            <w:vAlign w:val="bottom"/>
            <w:vMerge w:val="restart"/>
            <w:shd w:val="clear" w:color="auto" w:fill="E7E7E2"/>
          </w:tcPr>
          <w:p>
            <w:pPr>
              <w:ind w:left="20"/>
              <w:spacing w:after="0" w:line="193"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3"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3" w:lineRule="exact"/>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line="193" w:lineRule="exact"/>
              <w:rPr>
                <w:sz w:val="20"/>
                <w:szCs w:val="20"/>
                <w:color w:val="auto"/>
              </w:rPr>
            </w:pPr>
            <w:r>
              <w:rPr>
                <w:rFonts w:ascii="Arial" w:cs="Arial" w:eastAsia="Arial" w:hAnsi="Arial"/>
                <w:sz w:val="17"/>
                <w:szCs w:val="17"/>
                <w:color w:val="auto"/>
                <w:w w:val="98"/>
              </w:rPr>
              <w:t>0.0001 per</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w w:val="98"/>
              </w:rPr>
              <w:t>Depositary</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Shares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gridSpan w:val="7"/>
          </w:tcPr>
          <w:p>
            <w:pPr>
              <w:jc w:val="right"/>
              <w:ind w:right="135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5" w:lineRule="exact"/>
        <w:rPr>
          <w:sz w:val="20"/>
          <w:szCs w:val="20"/>
          <w:color w:val="auto"/>
        </w:rPr>
      </w:pPr>
    </w:p>
    <w:p>
      <w:pPr>
        <w:ind w:left="220" w:right="120" w:hanging="182"/>
        <w:spacing w:after="0" w:line="235" w:lineRule="auto"/>
        <w:tabs>
          <w:tab w:leader="none" w:pos="220" w:val="left"/>
        </w:tabs>
        <w:numPr>
          <w:ilvl w:val="0"/>
          <w:numId w:val="38"/>
        </w:numPr>
        <w:rPr>
          <w:rFonts w:ascii="Arial" w:cs="Arial" w:eastAsia="Arial" w:hAnsi="Arial"/>
          <w:sz w:val="21"/>
          <w:szCs w:val="21"/>
          <w:color w:val="auto"/>
          <w:vertAlign w:val="superscript"/>
        </w:rPr>
      </w:pPr>
      <w:r>
        <w:rPr>
          <w:rFonts w:ascii="Arial" w:cs="Arial" w:eastAsia="Arial" w:hAnsi="Arial"/>
          <w:sz w:val="17"/>
          <w:szCs w:val="17"/>
          <w:color w:val="auto"/>
        </w:rPr>
        <w:t>(1) 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or shares of preferred stock that are convertible into common stock or exercise of warrants that are exercisable for common stock or pursuant to any anti-dilution adjustments with respect to any such convertible debt securities, shares of preferred stock or warrants. (2) The proposed maximum offering prices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(3) Pursuant to Form S-3 Instruction 2.A.iii.c. of the Instructions to the Calculation of Filing Fee Tables and Related Disclosure, the registrant elects to pay all of the registration fee on a deferred basis in reliance upon Rules 456(b) and 457(r) under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27" w:lineRule="exact"/>
        <w:rPr>
          <w:sz w:val="20"/>
          <w:szCs w:val="20"/>
          <w:color w:val="auto"/>
        </w:rPr>
      </w:pPr>
    </w:p>
    <w:p>
      <w:pPr>
        <w:ind w:left="220" w:right="120" w:hanging="182"/>
        <w:spacing w:after="0"/>
        <w:tabs>
          <w:tab w:leader="none" w:pos="220" w:val="left"/>
        </w:tabs>
        <w:numPr>
          <w:ilvl w:val="0"/>
          <w:numId w:val="39"/>
        </w:numPr>
        <w:rPr>
          <w:rFonts w:ascii="Arial" w:cs="Arial" w:eastAsia="Arial" w:hAnsi="Arial"/>
          <w:sz w:val="21"/>
          <w:szCs w:val="21"/>
          <w:color w:val="auto"/>
          <w:vertAlign w:val="superscript"/>
        </w:rPr>
      </w:pPr>
      <w:r>
        <w:rPr>
          <w:rFonts w:ascii="Arial" w:cs="Arial" w:eastAsia="Arial" w:hAnsi="Arial"/>
          <w:sz w:val="17"/>
          <w:szCs w:val="17"/>
          <w:color w:val="auto"/>
        </w:rPr>
        <w:t>(1) 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or shares of preferred stock that are convertible into common stock or exercise of warrants that are exercisable for common stock or pursuant to any anti-dilution adjustments with respect to any such convertible debt securities, shares of preferred stock or warrants. (2) The proposed maximum offering prices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(3) Pursuant to Form S-3 Instruction 2.A.iii.c. of the Instructions to the Calculation of Filing Fee Tables and Related Disclosure, the registrant elects to pay all of the registration fee on a deferred basis in reliance upon Rules 456(b) and 457(r) under the Securities Act of 1933, as amended (the "Securities Act"). (4) Includes rights to acquire common stock or preferred stock of the Company under any stockholder rights plan then in effect, if applicable under the terms of any such plan. (5) Pursuant to Rule 416 under the Securities Act, this registration statement shall also cover any additional shares of common stock as may be issued in connection with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154940</wp:posOffset>
            </wp:positionV>
            <wp:extent cx="714502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373" w:lineRule="exact"/>
        <w:rPr>
          <w:sz w:val="20"/>
          <w:szCs w:val="20"/>
          <w:color w:val="auto"/>
        </w:rPr>
      </w:pPr>
    </w:p>
    <w:p>
      <w:pPr>
        <w:ind w:left="220" w:right="120" w:hanging="182"/>
        <w:spacing w:after="0" w:line="234" w:lineRule="auto"/>
        <w:tabs>
          <w:tab w:leader="none" w:pos="220" w:val="left"/>
        </w:tabs>
        <w:numPr>
          <w:ilvl w:val="0"/>
          <w:numId w:val="40"/>
        </w:numPr>
        <w:rPr>
          <w:rFonts w:ascii="Arial" w:cs="Arial" w:eastAsia="Arial" w:hAnsi="Arial"/>
          <w:sz w:val="21"/>
          <w:szCs w:val="21"/>
          <w:color w:val="auto"/>
          <w:vertAlign w:val="superscript"/>
        </w:rPr>
      </w:pPr>
      <w:r>
        <w:rPr>
          <w:rFonts w:ascii="Arial" w:cs="Arial" w:eastAsia="Arial" w:hAnsi="Arial"/>
          <w:sz w:val="17"/>
          <w:szCs w:val="17"/>
          <w:color w:val="auto"/>
        </w:rPr>
        <w:t>(1) 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or shares of preferred stock that are convertible into common stock or exercise of warrants that are exercisable for common stock or pursuant to any anti-dilution adjustments with respect to any such convertible debt securities, shares of preferred stock or warrants. (2) The proposed maximum offering prices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w:t>
      </w:r>
    </w:p>
    <w:p>
      <w:pPr>
        <w:sectPr>
          <w:pgSz w:w="11900" w:h="16862" w:orient="portrait"/>
          <w:cols w:equalWidth="0" w:num="1">
            <w:col w:w="11360"/>
          </w:cols>
          <w:pgMar w:left="300" w:top="142" w:right="239" w:bottom="0" w:gutter="0" w:footer="0" w:header="0"/>
        </w:sectPr>
      </w:pPr>
    </w:p>
    <w:bookmarkStart w:id="41" w:name="page42"/>
    <w:bookmarkEnd w:id="41"/>
    <w:p>
      <w:pPr>
        <w:ind w:left="220" w:right="200"/>
        <w:spacing w:after="0" w:line="249" w:lineRule="auto"/>
        <w:rPr>
          <w:sz w:val="20"/>
          <w:szCs w:val="20"/>
          <w:color w:val="auto"/>
        </w:rPr>
      </w:pPr>
      <w:r>
        <w:rPr>
          <w:rFonts w:ascii="Arial" w:cs="Arial" w:eastAsia="Arial" w:hAnsi="Arial"/>
          <w:sz w:val="17"/>
          <w:szCs w:val="17"/>
          <w:color w:val="auto"/>
        </w:rPr>
        <w:t>or exchange of other securities. (3) Pursuant to Form S-3 Instruction 2.A.iii.c. of the Instructions to the Calculation of Filing Fee Tables and Related Disclosure, the registrant elects to pay all of the registration fee on a deferred basis in reliance upon Rules 456(b) and 457(r) under the Securities Act of 1933, as amended (the "Securities Act"). (4) Includes rights to acquire common stock or preferred stock of the Company under any stockholder rights plan then in effect, if applicable under the terms of any such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57150</wp:posOffset>
            </wp:positionV>
            <wp:extent cx="714502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19" w:lineRule="exact"/>
        <w:rPr>
          <w:sz w:val="20"/>
          <w:szCs w:val="20"/>
          <w:color w:val="auto"/>
        </w:rPr>
      </w:pPr>
    </w:p>
    <w:p>
      <w:pPr>
        <w:ind w:left="220" w:right="40" w:hanging="182"/>
        <w:spacing w:after="0" w:line="235" w:lineRule="auto"/>
        <w:tabs>
          <w:tab w:leader="none" w:pos="220" w:val="left"/>
        </w:tabs>
        <w:numPr>
          <w:ilvl w:val="0"/>
          <w:numId w:val="41"/>
        </w:numPr>
        <w:rPr>
          <w:rFonts w:ascii="Arial" w:cs="Arial" w:eastAsia="Arial" w:hAnsi="Arial"/>
          <w:sz w:val="21"/>
          <w:szCs w:val="21"/>
          <w:color w:val="auto"/>
          <w:vertAlign w:val="superscript"/>
        </w:rPr>
      </w:pPr>
      <w:r>
        <w:rPr>
          <w:rFonts w:ascii="Arial" w:cs="Arial" w:eastAsia="Arial" w:hAnsi="Arial"/>
          <w:sz w:val="17"/>
          <w:szCs w:val="17"/>
          <w:color w:val="auto"/>
        </w:rPr>
        <w:t>(1) 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or shares of preferred stock that are convertible into common stock or exercise of warrants that are exercisable for common stock or pursuant to any anti-dilution adjustments with respect to any such convertible debt securities, shares of preferred stock or warrants. (2) The proposed maximum offering prices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(3) Pursuant to Form S-3 Instruction 2.A.iii.c. of the Instructions to the Calculation of Filing Fee Tables and Related Disclosure, the registrant elects to pay all of the registration fee on a deferred basis in reliance upon Rules 456(b) and 457(r) under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27" w:lineRule="exact"/>
        <w:rPr>
          <w:sz w:val="20"/>
          <w:szCs w:val="20"/>
          <w:color w:val="auto"/>
        </w:rPr>
      </w:pPr>
    </w:p>
    <w:p>
      <w:pPr>
        <w:ind w:left="220" w:right="40" w:hanging="182"/>
        <w:spacing w:after="0" w:line="235" w:lineRule="auto"/>
        <w:tabs>
          <w:tab w:leader="none" w:pos="220" w:val="left"/>
        </w:tabs>
        <w:numPr>
          <w:ilvl w:val="0"/>
          <w:numId w:val="42"/>
        </w:numPr>
        <w:rPr>
          <w:rFonts w:ascii="Arial" w:cs="Arial" w:eastAsia="Arial" w:hAnsi="Arial"/>
          <w:sz w:val="21"/>
          <w:szCs w:val="21"/>
          <w:color w:val="auto"/>
          <w:vertAlign w:val="superscript"/>
        </w:rPr>
      </w:pPr>
      <w:r>
        <w:rPr>
          <w:rFonts w:ascii="Arial" w:cs="Arial" w:eastAsia="Arial" w:hAnsi="Arial"/>
          <w:sz w:val="17"/>
          <w:szCs w:val="17"/>
          <w:color w:val="auto"/>
        </w:rPr>
        <w:t>(1) 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or shares of preferred stock that are convertible into common stock or exercise of warrants that are exercisable for common stock or pursuant to any anti-dilution adjustments with respect to any such convertible debt securities, shares of preferred stock or warrants. (2) The proposed maximum offering prices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(3) Pursuant to Form S-3 Instruction 2.A.iii.c. of the Instructions to the Calculation of Filing Fee Tables and Related Disclosure, the registrant elects to pay all of the registration fee on a deferred basis in reliance upon Rules 456(b) and 457(r) under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10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3"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8"/>
                <w:szCs w:val="8"/>
                <w:color w:val="auto"/>
              </w:rPr>
            </w:pPr>
          </w:p>
        </w:tc>
        <w:tc>
          <w:tcPr>
            <w:tcW w:w="68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9ADAF6"/>
            </w:tcBorders>
            <w:gridSpan w:val="3"/>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right w:val="single" w:sz="8" w:color="9ADAF6"/>
            </w:tcBorders>
            <w:gridSpan w:val="3"/>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9ADAF6"/>
            </w:tcBorders>
            <w:gridSpan w:val="2"/>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jc w:val="center"/>
              <w:ind w:right="274"/>
              <w:spacing w:after="0" w:line="193"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2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3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6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1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3"/>
          </w:tcPr>
          <w:p>
            <w:pPr>
              <w:jc w:val="center"/>
              <w:ind w:right="197"/>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gridSpan w:val="7"/>
          </w:tcPr>
          <w:p>
            <w:pPr>
              <w:jc w:val="center"/>
              <w:ind w:right="30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118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1840" w:type="dxa"/>
            <w:vAlign w:val="bottom"/>
            <w:gridSpan w:val="4"/>
            <w:shd w:val="clear" w:color="auto" w:fill="9ADAF6"/>
          </w:tcPr>
          <w:p>
            <w:pPr>
              <w:jc w:val="center"/>
              <w:ind w:right="78"/>
              <w:spacing w:after="0"/>
              <w:rPr>
                <w:sz w:val="20"/>
                <w:szCs w:val="20"/>
                <w:color w:val="auto"/>
              </w:rPr>
            </w:pPr>
            <w:r>
              <w:rPr>
                <w:rFonts w:ascii="Arial" w:cs="Arial" w:eastAsia="Arial" w:hAnsi="Arial"/>
                <w:sz w:val="17"/>
                <w:szCs w:val="17"/>
                <w:b w:val="1"/>
                <w:bCs w:val="1"/>
                <w:color w:val="auto"/>
              </w:rPr>
              <w:t>Maximum Aggregate</w:t>
            </w:r>
          </w:p>
        </w:tc>
        <w:tc>
          <w:tcPr>
            <w:tcW w:w="10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78"/>
              <w:spacing w:after="0" w:line="193" w:lineRule="exact"/>
              <w:rPr>
                <w:sz w:val="20"/>
                <w:szCs w:val="20"/>
                <w:color w:val="auto"/>
              </w:rPr>
            </w:pPr>
            <w:r>
              <w:rPr>
                <w:rFonts w:ascii="Arial" w:cs="Arial" w:eastAsia="Arial" w:hAnsi="Arial"/>
                <w:sz w:val="17"/>
                <w:szCs w:val="17"/>
                <w:b w:val="1"/>
                <w:bCs w:val="1"/>
                <w:color w:val="auto"/>
              </w:rPr>
              <w:t>Offering Price of</w:t>
            </w: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20"/>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3"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80" w:type="dxa"/>
            <w:vAlign w:val="bottom"/>
            <w:gridSpan w:val="5"/>
            <w:vMerge w:val="restart"/>
            <w:shd w:val="clear" w:color="auto" w:fill="9ADAF6"/>
          </w:tcPr>
          <w:p>
            <w:pPr>
              <w:ind w:left="620"/>
              <w:spacing w:after="0" w:line="193"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3"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3"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restart"/>
            <w:shd w:val="clear" w:color="auto" w:fill="9ADAF6"/>
          </w:tcPr>
          <w:p>
            <w:pPr>
              <w:jc w:val="center"/>
              <w:ind w:right="58"/>
              <w:spacing w:after="0" w:line="193" w:lineRule="exact"/>
              <w:rPr>
                <w:sz w:val="20"/>
                <w:szCs w:val="20"/>
                <w:color w:val="auto"/>
              </w:rPr>
            </w:pPr>
            <w:r>
              <w:rPr>
                <w:rFonts w:ascii="Arial" w:cs="Arial" w:eastAsia="Arial" w:hAnsi="Arial"/>
                <w:sz w:val="17"/>
                <w:szCs w:val="17"/>
                <w:b w:val="1"/>
                <w:bCs w:val="1"/>
                <w:color w:val="auto"/>
                <w:w w:val="98"/>
              </w:rPr>
              <w:t>Securities Previously</w:t>
            </w: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continue"/>
            <w:shd w:val="clear" w:color="auto" w:fill="9ADAF6"/>
          </w:tcPr>
          <w:p>
            <w:pPr>
              <w:spacing w:after="0"/>
              <w:rPr>
                <w:sz w:val="8"/>
                <w:szCs w:val="8"/>
                <w:color w:val="auto"/>
              </w:rPr>
            </w:pP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9ADAF6"/>
            </w:tcBorders>
            <w:shd w:val="clear" w:color="auto" w:fill="9ADAF6"/>
          </w:tcPr>
          <w:p>
            <w:pPr>
              <w:spacing w:after="0"/>
              <w:rPr>
                <w:sz w:val="12"/>
                <w:szCs w:val="12"/>
                <w:color w:val="auto"/>
              </w:rPr>
            </w:pPr>
          </w:p>
        </w:tc>
        <w:tc>
          <w:tcPr>
            <w:tcW w:w="118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6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center"/>
              <w:ind w:right="98"/>
              <w:spacing w:after="0"/>
              <w:rPr>
                <w:sz w:val="20"/>
                <w:szCs w:val="20"/>
                <w:color w:val="auto"/>
              </w:rPr>
            </w:pPr>
            <w:r>
              <w:rPr>
                <w:rFonts w:ascii="Arial" w:cs="Arial" w:eastAsia="Arial" w:hAnsi="Arial"/>
                <w:sz w:val="17"/>
                <w:szCs w:val="17"/>
                <w:b w:val="1"/>
                <w:bCs w:val="1"/>
                <w:color w:val="auto"/>
              </w:rPr>
              <w:t>Registered</w:t>
            </w:r>
          </w:p>
        </w:tc>
        <w:tc>
          <w:tcPr>
            <w:tcW w:w="100" w:type="dxa"/>
            <w:vAlign w:val="bottom"/>
            <w:tcBorders>
              <w:right w:val="single" w:sz="8" w:color="9ADAF6"/>
            </w:tcBorders>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00" w:type="dxa"/>
            <w:vAlign w:val="bottom"/>
            <w:tcBorders>
              <w:right w:val="single" w:sz="8" w:color="auto"/>
            </w:tcBorders>
            <w:gridSpan w:val="2"/>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9ADAF6"/>
            </w:tcBorders>
            <w:shd w:val="clear" w:color="auto" w:fill="9ADAF6"/>
          </w:tcPr>
          <w:p>
            <w:pPr>
              <w:spacing w:after="0"/>
              <w:rPr>
                <w:sz w:val="7"/>
                <w:szCs w:val="7"/>
                <w:color w:val="auto"/>
              </w:rPr>
            </w:pPr>
          </w:p>
        </w:tc>
        <w:tc>
          <w:tcPr>
            <w:tcW w:w="118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10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lowerRoman"/>
      <w:start w:val="2"/>
    </w:lvl>
  </w:abstractNum>
  <w:abstractNum w:abstractNumId="22">
    <w:nsid w:val="22221A70"/>
    <w:multiLevelType w:val="hybridMultilevel"/>
    <w:lvl w:ilvl="0">
      <w:lvlJc w:val="left"/>
      <w:lvlText w:val=" "/>
      <w:numFmt w:val="bullet"/>
      <w:start w:val="1"/>
    </w:lvl>
  </w:abstractNum>
  <w:abstractNum w:abstractNumId="23">
    <w:nsid w:val="4516DDE9"/>
    <w:multiLevelType w:val="hybridMultilevel"/>
    <w:lvl w:ilvl="0">
      <w:lvlJc w:val="left"/>
      <w:lvlText w:val=" "/>
      <w:numFmt w:val="bullet"/>
      <w:start w:val="1"/>
    </w:lvl>
  </w:abstractNum>
  <w:abstractNum w:abstractNumId="24">
    <w:nsid w:val="3006C83E"/>
    <w:multiLevelType w:val="hybridMultilevel"/>
    <w:lvl w:ilvl="0">
      <w:lvlJc w:val="left"/>
      <w:lvlText w:val=" "/>
      <w:numFmt w:val="bullet"/>
      <w:start w:val="1"/>
    </w:lvl>
  </w:abstractNum>
  <w:abstractNum w:abstractNumId="25">
    <w:nsid w:val="614FD4A1"/>
    <w:multiLevelType w:val="hybridMultilevel"/>
    <w:lvl w:ilvl="0">
      <w:lvlJc w:val="left"/>
      <w:lvlText w:val="%1"/>
      <w:numFmt w:val="decimal"/>
      <w:start w:val="107"/>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lowerLetter"/>
      <w:start w:val="16"/>
    </w:lvl>
  </w:abstractNum>
  <w:abstractNum w:abstractNumId="28">
    <w:nsid w:val="440BADF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9">
    <w:nsid w:val="5072367"/>
    <w:multiLevelType w:val="hybridMultilevel"/>
    <w:lvl w:ilvl="0">
      <w:lvlJc w:val="left"/>
      <w:lvlText w:val="(%1)"/>
      <w:numFmt w:val="lowerRoman"/>
      <w:start w:val="2"/>
    </w:lvl>
  </w:abstractNum>
  <w:abstractNum w:abstractNumId="30">
    <w:nsid w:val="3804823E"/>
    <w:multiLevelType w:val="hybridMultilevel"/>
    <w:lvl w:ilvl="0">
      <w:lvlJc w:val="left"/>
      <w:lvlText w:val="(%1)"/>
      <w:numFmt w:val="lowerRoman"/>
      <w:start w:val="3"/>
    </w:lvl>
  </w:abstractNum>
  <w:abstractNum w:abstractNumId="31">
    <w:nsid w:val="77465F01"/>
    <w:multiLevelType w:val="hybridMultilevel"/>
    <w:lvl w:ilvl="0">
      <w:lvlJc w:val="left"/>
      <w:lvlText w:val="(%1)"/>
      <w:numFmt w:val="decimal"/>
      <w:start w:val="2"/>
    </w:lvl>
    <w:lvl w:ilvl="1">
      <w:lvlJc w:val="left"/>
      <w:lvlText w:val="(%2)"/>
      <w:numFmt w:val="lowerRoman"/>
      <w:start w:val="1"/>
    </w:lvl>
  </w:abstractNum>
  <w:abstractNum w:abstractNumId="32">
    <w:nsid w:val="7724C67E"/>
    <w:multiLevelType w:val="hybridMultilevel"/>
    <w:lvl w:ilvl="0">
      <w:lvlJc w:val="left"/>
      <w:lvlText w:val="(%1)"/>
      <w:numFmt w:val="lowerRoman"/>
      <w:start w:val="2"/>
    </w:lvl>
  </w:abstractNum>
  <w:abstractNum w:abstractNumId="33">
    <w:nsid w:val="5C482A97"/>
    <w:multiLevelType w:val="hybridMultilevel"/>
    <w:lvl w:ilvl="0">
      <w:lvlJc w:val="left"/>
      <w:lvlText w:val="%1"/>
      <w:numFmt w:val="lowerLetter"/>
      <w:start w:val="1"/>
    </w:lvl>
    <w:lvl w:ilvl="1">
      <w:lvlJc w:val="left"/>
      <w:lvlText w:val="(%2)"/>
      <w:numFmt w:val="lowerRoman"/>
      <w:start w:val="3"/>
    </w:lvl>
  </w:abstractNum>
  <w:abstractNum w:abstractNumId="34">
    <w:nsid w:val="2463B9EA"/>
    <w:multiLevelType w:val="hybridMultilevel"/>
    <w:lvl w:ilvl="0">
      <w:lvlJc w:val="left"/>
      <w:lvlText w:val="(%1)"/>
      <w:numFmt w:val="lowerLetter"/>
      <w:start w:val="2"/>
    </w:lvl>
    <w:lvl w:ilvl="1">
      <w:lvlJc w:val="left"/>
      <w:lvlText w:val="%2"/>
      <w:numFmt w:val="lowerRoman"/>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5"/>
    </w:lvl>
  </w:abstractNum>
  <w:abstractNum w:abstractNumId="37">
    <w:nsid w:val="2D517796"/>
    <w:multiLevelType w:val="hybridMultilevel"/>
    <w:lvl w:ilvl="0">
      <w:lvlJc w:val="left"/>
      <w:lvlText w:val="1"/>
      <w:numFmt w:val="bullet"/>
      <w:start w:val="1"/>
    </w:lvl>
  </w:abstractNum>
  <w:abstractNum w:abstractNumId="38">
    <w:nsid w:val="580BD78F"/>
    <w:multiLevelType w:val="hybridMultilevel"/>
    <w:lvl w:ilvl="0">
      <w:lvlJc w:val="left"/>
      <w:lvlText w:val="2"/>
      <w:numFmt w:val="bullet"/>
      <w:start w:val="1"/>
    </w:lvl>
  </w:abstractNum>
  <w:abstractNum w:abstractNumId="39">
    <w:nsid w:val="153EA438"/>
    <w:multiLevelType w:val="hybridMultilevel"/>
    <w:lvl w:ilvl="0">
      <w:lvlJc w:val="left"/>
      <w:lvlText w:val="3"/>
      <w:numFmt w:val="bullet"/>
      <w:start w:val="1"/>
    </w:lvl>
  </w:abstractNum>
  <w:abstractNum w:abstractNumId="40">
    <w:nsid w:val="3855585C"/>
    <w:multiLevelType w:val="hybridMultilevel"/>
    <w:lvl w:ilvl="0">
      <w:lvlJc w:val="left"/>
      <w:lvlText w:val="4"/>
      <w:numFmt w:val="bullet"/>
      <w:start w:val="1"/>
    </w:lvl>
  </w:abstractNum>
  <w:abstractNum w:abstractNumId="41">
    <w:nsid w:val="70A64E2A"/>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jpeg"/><Relationship Id="rId70" Type="http://schemas.openxmlformats.org/officeDocument/2006/relationships/image" Target="media/image54.png"/><Relationship Id="rId71" Type="http://schemas.openxmlformats.org/officeDocument/2006/relationships/image" Target="media/image55.jpeg"/><Relationship Id="rId72" Type="http://schemas.openxmlformats.org/officeDocument/2006/relationships/image" Target="media/image56.png"/><Relationship Id="rId73" Type="http://schemas.openxmlformats.org/officeDocument/2006/relationships/image" Target="media/image57.jpeg"/><Relationship Id="rId74" Type="http://schemas.openxmlformats.org/officeDocument/2006/relationships/image" Target="media/image58.png"/><Relationship Id="rId75" Type="http://schemas.openxmlformats.org/officeDocument/2006/relationships/image" Target="media/image59.jpe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28" Type="http://schemas.openxmlformats.org/officeDocument/2006/relationships/hyperlink" Target="http://www.sec.gov/ix?doc=/Archives/edgar/data/797721/000119312526248290/vsat-20260331.htm" TargetMode="External"/><Relationship Id="rId29" Type="http://schemas.openxmlformats.org/officeDocument/2006/relationships/hyperlink" Target="http://www.sec.gov/ix?doc=/Archives/edgar/data/0000797721/000119312525165436/d906128ddef14a.htm" TargetMode="External"/><Relationship Id="rId30" Type="http://schemas.openxmlformats.org/officeDocument/2006/relationships/hyperlink" Target="http://www.sec.gov/Archives/edgar/data/797721/000119312526210427/d108013d8k.htm" TargetMode="External"/><Relationship Id="rId31" Type="http://schemas.openxmlformats.org/officeDocument/2006/relationships/hyperlink" Target="http://www.sec.gov/Archives/edgar/data/797721/0000936392-96-001107.txt" TargetMode="External"/><Relationship Id="rId58" Type="http://schemas.openxmlformats.org/officeDocument/2006/relationships/hyperlink" Target="http://www.sec.gov/Archives/edgar/data/797721/000109581100004805/a66909ex3-1.txt" TargetMode="External"/><Relationship Id="rId59" Type="http://schemas.openxmlformats.org/officeDocument/2006/relationships/hyperlink" Target="http://www.sec.gov/Archives/edgar/data/797721/000119312523159891/d505957dex31.htm" TargetMode="External"/><Relationship Id="rId60" Type="http://schemas.openxmlformats.org/officeDocument/2006/relationships/hyperlink" Target="http://www.sec.gov/Archives/edgar/data/797721/000095017023062152/vsat-ex3_1.htm" TargetMode="External"/><Relationship Id="rId61" Type="http://schemas.openxmlformats.org/officeDocument/2006/relationships/hyperlink" Target="http://www.sec.gov/Archives/edgar/data/797721/0000936392-96-000944.txt" TargetMode="External"/><Relationship Id="rId62" Type="http://schemas.openxmlformats.org/officeDocument/2006/relationships/hyperlink" Target="http://www.sec.gov/Archives/edgar/data/797721/000119312523187416/d508695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2026-05-29T16:50:49Z</dcterms:created>
  <dcterms:modified xsi:type="dcterms:W3CDTF">2026-05-29T16:50:49Z</dcterms:modified>
</cp:coreProperties>
</file>