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6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March 28,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440" w:val="left"/>
          <w:tab w:leader="none" w:pos="5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907" w:orient="portrait"/>
          <w:cols w:equalWidth="0" w:num="1">
            <w:col w:w="11400"/>
          </w:cols>
          <w:pgMar w:left="240" w:top="122" w:right="259" w:bottom="0" w:gutter="0" w:footer="0" w:header="0"/>
        </w:sectPr>
      </w:pPr>
    </w:p>
    <w:p>
      <w:pPr>
        <w:spacing w:after="0" w:line="2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33-0174996</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0"/>
          <w:szCs w:val="20"/>
          <w:color w:val="auto"/>
        </w:rPr>
      </w:pPr>
    </w:p>
    <w:p>
      <w:pPr>
        <w:sectPr>
          <w:pgSz w:w="11900" w:h="16907" w:orient="portrait"/>
          <w:cols w:equalWidth="0" w:num="2">
            <w:col w:w="6640" w:space="720"/>
            <w:col w:w="4040"/>
          </w:cols>
          <w:pgMar w:left="240" w:top="122" w:right="259" w:bottom="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6155 El Camino Real, Carlsbad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California 92009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(Address, including zip code, and telephone number, including area code, of principal executive offices)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907" w:orient="portrait"/>
          <w:cols w:equalWidth="0" w:num="1">
            <w:col w:w="11400"/>
          </w:cols>
          <w:pgMar w:left="240" w:top="122" w:right="259" w:bottom="0" w:gutter="0" w:footer="0" w:header="0"/>
          <w:type w:val="continuous"/>
        </w:sectPr>
      </w:pP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2"/>
          <w:szCs w:val="12"/>
          <w:b w:val="1"/>
          <w:bCs w:val="1"/>
          <w:color w:val="auto"/>
        </w:rPr>
        <w:t>Common Stock, par value $0.0001 per share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37" w:lineRule="exact"/>
        <w:rPr>
          <w:sz w:val="20"/>
          <w:szCs w:val="20"/>
          <w:color w:val="auto"/>
        </w:rPr>
      </w:pPr>
    </w:p>
    <w:p>
      <w:pPr>
        <w:sectPr>
          <w:pgSz w:w="11900" w:h="16907" w:orient="portrait"/>
          <w:cols w:equalWidth="0" w:num="2">
            <w:col w:w="6940" w:space="720"/>
            <w:col w:w="3740"/>
          </w:cols>
          <w:pgMar w:left="240" w:top="122" w:right="259" w:bottom="0" w:gutter="0" w:footer="0" w:header="0"/>
          <w:type w:val="continuous"/>
        </w:sectPr>
      </w:pPr>
    </w:p>
    <w:p>
      <w:pPr>
        <w:ind w:left="1980"/>
        <w:spacing w:after="0"/>
        <w:rPr>
          <w:sz w:val="20"/>
          <w:szCs w:val="20"/>
          <w:color w:val="auto"/>
        </w:rPr>
      </w:pPr>
      <w:r>
        <w:rPr>
          <w:rFonts w:ascii="Arial" w:cs="Arial" w:eastAsia="Arial" w:hAnsi="Arial"/>
          <w:sz w:val="16"/>
          <w:szCs w:val="16"/>
          <w:i w:val="1"/>
          <w:iCs w:val="1"/>
          <w:color w:val="auto"/>
        </w:rPr>
        <w:t>(Title of Each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(Name of Each Exchange on which Registered)</w:t>
      </w:r>
    </w:p>
    <w:p>
      <w:pPr>
        <w:spacing w:after="0" w:line="200" w:lineRule="exact"/>
        <w:rPr>
          <w:sz w:val="20"/>
          <w:szCs w:val="20"/>
          <w:color w:val="auto"/>
        </w:rPr>
      </w:pPr>
    </w:p>
    <w:p>
      <w:pPr>
        <w:sectPr>
          <w:pgSz w:w="11900" w:h="16907" w:orient="portrait"/>
          <w:cols w:equalWidth="0" w:num="2">
            <w:col w:w="6280" w:space="720"/>
            <w:col w:w="4400"/>
          </w:cols>
          <w:pgMar w:left="240" w:top="122" w:right="259" w:bottom="0" w:gutter="0" w:footer="0" w:header="0"/>
          <w:type w:val="continuous"/>
        </w:sectPr>
      </w:pP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ectPr>
          <w:pgSz w:w="11900" w:h="16907" w:orient="portrait"/>
          <w:cols w:equalWidth="0" w:num="1">
            <w:col w:w="11400"/>
          </w:cols>
          <w:pgMar w:left="240" w:top="122" w:right="259" w:bottom="0" w:gutter="0" w:footer="0" w:header="0"/>
          <w:type w:val="continuous"/>
        </w:sectPr>
      </w:pPr>
    </w:p>
    <w:p>
      <w:pPr>
        <w:spacing w:after="0" w:line="70" w:lineRule="exact"/>
        <w:rPr>
          <w:sz w:val="20"/>
          <w:szCs w:val="20"/>
          <w:color w:val="auto"/>
        </w:rPr>
      </w:pPr>
    </w:p>
    <w:p>
      <w:pPr>
        <w:ind w:left="240"/>
        <w:spacing w:after="0" w:line="196" w:lineRule="exact"/>
        <w:tabs>
          <w:tab w:leader="none" w:pos="992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of 1933. o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161" w:lineRule="exact"/>
        <w:rPr>
          <w:sz w:val="20"/>
          <w:szCs w:val="20"/>
          <w:color w:val="auto"/>
        </w:rPr>
      </w:pPr>
    </w:p>
    <w:p>
      <w:pPr>
        <w:ind w:right="1480" w:firstLine="225"/>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Exchange Act during the preceding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32" w:lineRule="exact"/>
        <w:rPr>
          <w:sz w:val="20"/>
          <w:szCs w:val="20"/>
          <w:color w:val="auto"/>
        </w:rPr>
      </w:pPr>
    </w:p>
    <w:p>
      <w:pPr>
        <w:spacing w:after="0" w:line="207" w:lineRule="exact"/>
        <w:tabs>
          <w:tab w:leader="none" w:pos="1320" w:val="left"/>
        </w:tabs>
        <w:rPr>
          <w:sz w:val="20"/>
          <w:szCs w:val="20"/>
          <w:color w:val="auto"/>
        </w:rPr>
      </w:pPr>
      <w:r>
        <w:rPr>
          <w:rFonts w:ascii="Arial" w:cs="Arial" w:eastAsia="Arial" w:hAnsi="Arial"/>
          <w:sz w:val="18"/>
          <w:szCs w:val="18"/>
          <w:color w:val="auto"/>
        </w:rPr>
        <w:t xml:space="preserve">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Arial" w:cs="Arial" w:eastAsia="Arial" w:hAnsi="Arial"/>
          <w:sz w:val="17"/>
          <w:szCs w:val="17"/>
          <w:color w:val="auto"/>
        </w:rPr>
        <w:t>o No</w:t>
      </w:r>
    </w:p>
    <w:p>
      <w:pPr>
        <w:spacing w:after="0" w:line="10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07" w:orient="portrait"/>
          <w:cols w:equalWidth="0" w:num="1">
            <w:col w:w="11400"/>
          </w:cols>
          <w:pgMar w:left="240" w:top="122" w:right="259" w:bottom="0" w:gutter="0" w:footer="0" w:header="0"/>
          <w:type w:val="continuous"/>
        </w:sectPr>
      </w:pPr>
    </w:p>
    <w:p>
      <w:pPr>
        <w:spacing w:after="0" w:line="91" w:lineRule="exact"/>
        <w:rPr>
          <w:sz w:val="20"/>
          <w:szCs w:val="20"/>
          <w:color w:val="auto"/>
        </w:rPr>
      </w:pPr>
    </w:p>
    <w:p>
      <w:pPr>
        <w:ind w:left="4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907" w:orient="portrait"/>
          <w:cols w:equalWidth="0" w:num="4">
            <w:col w:w="2860" w:space="720"/>
            <w:col w:w="1340" w:space="560"/>
            <w:col w:w="3360" w:space="180"/>
            <w:col w:w="2380"/>
          </w:cols>
          <w:pgMar w:left="240" w:top="122" w:right="259" w:bottom="0" w:gutter="0" w:footer="0" w:header="0"/>
          <w:type w:val="continuous"/>
        </w:sectPr>
      </w:pPr>
    </w:p>
    <w:p>
      <w:pPr>
        <w:spacing w:after="0" w:line="33"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2" w:lineRule="exact"/>
        <w:rPr>
          <w:sz w:val="20"/>
          <w:szCs w:val="20"/>
          <w:color w:val="auto"/>
        </w:rPr>
      </w:pPr>
    </w:p>
    <w:p>
      <w:pPr>
        <w:sectPr>
          <w:pgSz w:w="11900" w:h="16907" w:orient="portrait"/>
          <w:cols w:equalWidth="0" w:num="2">
            <w:col w:w="8840" w:space="240"/>
            <w:col w:w="2320"/>
          </w:cols>
          <w:pgMar w:left="240" w:top="122" w:right="259" w:bottom="0" w:gutter="0" w:footer="0" w:header="0"/>
          <w:type w:val="continuous"/>
        </w:sectPr>
      </w:pPr>
    </w:p>
    <w:p>
      <w:pPr>
        <w:ind w:firstLine="222"/>
        <w:spacing w:after="0" w:line="279" w:lineRule="auto"/>
        <w:rPr>
          <w:sz w:val="20"/>
          <w:szCs w:val="20"/>
          <w:color w:val="auto"/>
        </w:rPr>
      </w:pPr>
      <w:r>
        <w:rPr>
          <w:rFonts w:ascii="Arial" w:cs="Arial" w:eastAsia="Arial" w:hAnsi="Arial"/>
          <w:sz w:val="17"/>
          <w:szCs w:val="17"/>
          <w:color w:val="auto"/>
        </w:rPr>
        <w:t>The aggregate market value of the common stock held by non-affiliates of the registrant, as of September 28, 2007 was approximately $761,428,765 (based on the closing price on that date for shares of the registrant’s common stock as reported by the Nasdaq Global Select Market). Shares of common stock held by each officer, director and holder of 5% or more of the outstanding common stock have been excluded in that such persons may be deemed affiliates. This determination of affiliate status is not necessarily a conclusive determination for other purposes.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number of shares outstanding of the registrant’s common stock, $.0001 par value, as of May 20, 2008 was 30,487,416.</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Portions of the registrant’s definitive Proxy Statement to be filed with the Securities and Exchange Commission pursuant to Regulation 14A in connection with its 2008 Annual Meeting of Stockholders are incorporated by reference into Part III of this Form 10-K where indicated. Such Proxy Statement will be filed with the Securities and Exchange Commission not later than 120 days after the registrant’s fiscal year ended March 28, 2008.</w:t>
      </w:r>
    </w:p>
    <w:p>
      <w:pPr>
        <w:sectPr>
          <w:pgSz w:w="11900" w:h="16907" w:orient="portrait"/>
          <w:cols w:equalWidth="0" w:num="1">
            <w:col w:w="11400"/>
          </w:cols>
          <w:pgMar w:left="240" w:top="122" w:right="259" w:bottom="0" w:gutter="0" w:footer="0" w:header="0"/>
          <w:type w:val="continuous"/>
        </w:sectPr>
      </w:pPr>
    </w:p>
    <w:bookmarkStart w:id="2" w:name="page3"/>
    <w:bookmarkEnd w:id="2"/>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524510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40" w:type="dxa"/>
            <w:vAlign w:val="bottom"/>
            <w:gridSpan w:val="8"/>
          </w:tcPr>
          <w:p>
            <w:pPr>
              <w:jc w:val="center"/>
              <w:ind w:right="4380"/>
              <w:spacing w:after="0"/>
              <w:rPr>
                <w:sz w:val="20"/>
                <w:szCs w:val="20"/>
                <w:color w:val="auto"/>
              </w:rPr>
            </w:pPr>
            <w:r>
              <w:rPr>
                <w:rFonts w:ascii="Arial" w:cs="Arial" w:eastAsia="Arial" w:hAnsi="Arial"/>
                <w:sz w:val="18"/>
                <w:szCs w:val="18"/>
                <w:b w:val="1"/>
                <w:bCs w:val="1"/>
                <w:color w:val="auto"/>
                <w:w w:val="99"/>
              </w:rPr>
              <w:t>VIASAT, INC.</w:t>
            </w:r>
          </w:p>
        </w:tc>
        <w:tc>
          <w:tcPr>
            <w:tcW w:w="440" w:type="dxa"/>
            <w:vAlign w:val="bottom"/>
          </w:tcPr>
          <w:p>
            <w:pPr>
              <w:spacing w:after="0"/>
              <w:rPr>
                <w:sz w:val="20"/>
                <w:szCs w:val="20"/>
                <w:color w:val="auto"/>
              </w:rPr>
            </w:pPr>
          </w:p>
        </w:tc>
      </w:tr>
      <w:tr>
        <w:trPr>
          <w:trHeight w:val="324"/>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gridSpan w:val="9"/>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85"/>
        </w:trPr>
        <w:tc>
          <w:tcPr>
            <w:tcW w:w="600" w:type="dxa"/>
            <w:vAlign w:val="bottom"/>
            <w:tcBorders>
              <w:bottom w:val="single" w:sz="8" w:color="0000EE"/>
            </w:tcBorders>
            <w:gridSpan w:val="3"/>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48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Item 1.</w:t>
              </w:r>
            </w:hyperlink>
          </w:p>
        </w:tc>
        <w:tc>
          <w:tcPr>
            <w:tcW w:w="560" w:type="dxa"/>
            <w:vAlign w:val="bottom"/>
            <w:gridSpan w:val="7"/>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260" w:type="dxa"/>
            <w:vAlign w:val="bottom"/>
            <w:gridSpan w:val="19"/>
          </w:tcPr>
          <w:p>
            <w:pPr>
              <w:spacing w:after="0"/>
              <w:rPr>
                <w:sz w:val="17"/>
                <w:szCs w:val="17"/>
                <w:color w:val="auto"/>
              </w:rPr>
            </w:pPr>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w:t>
            </w: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Item 1A.</w:t>
              </w:r>
            </w:hyperlink>
          </w:p>
        </w:tc>
        <w:tc>
          <w:tcPr>
            <w:tcW w:w="420" w:type="dxa"/>
            <w:vAlign w:val="bottom"/>
            <w:gridSpan w:val="5"/>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9000" w:type="dxa"/>
            <w:vAlign w:val="bottom"/>
            <w:gridSpan w:val="17"/>
          </w:tcPr>
          <w:p>
            <w:pPr>
              <w:spacing w:after="0"/>
              <w:rPr>
                <w:sz w:val="17"/>
                <w:szCs w:val="17"/>
                <w:color w:val="auto"/>
              </w:rPr>
            </w:pPr>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15</w:t>
            </w: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27">
              <w:r>
                <w:rPr>
                  <w:rFonts w:ascii="Arial" w:cs="Arial" w:eastAsia="Arial" w:hAnsi="Arial"/>
                  <w:sz w:val="18"/>
                  <w:szCs w:val="18"/>
                  <w:color w:val="0000EE"/>
                  <w:w w:val="83"/>
                </w:rPr>
                <w:t>Item 1B.</w:t>
              </w:r>
            </w:hyperlink>
          </w:p>
        </w:tc>
        <w:tc>
          <w:tcPr>
            <w:tcW w:w="480" w:type="dxa"/>
            <w:vAlign w:val="bottom"/>
            <w:gridSpan w:val="6"/>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25</w:t>
            </w: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Item 2.</w:t>
              </w:r>
            </w:hyperlink>
          </w:p>
        </w:tc>
        <w:tc>
          <w:tcPr>
            <w:tcW w:w="80" w:type="dxa"/>
            <w:vAlign w:val="bottom"/>
            <w:tcBorders>
              <w:top w:val="single" w:sz="8" w:color="0000EE"/>
            </w:tcBorders>
          </w:tcPr>
          <w:p>
            <w:pPr>
              <w:spacing w:after="0"/>
              <w:rPr>
                <w:sz w:val="17"/>
                <w:szCs w:val="17"/>
                <w:color w:val="auto"/>
              </w:rPr>
            </w:pPr>
          </w:p>
        </w:tc>
        <w:tc>
          <w:tcPr>
            <w:tcW w:w="480" w:type="dxa"/>
            <w:vAlign w:val="bottom"/>
            <w:gridSpan w:val="6"/>
          </w:tcPr>
          <w:p>
            <w:pPr>
              <w:spacing w:after="0"/>
              <w:rPr>
                <w:sz w:val="17"/>
                <w:szCs w:val="17"/>
                <w:color w:val="auto"/>
              </w:rPr>
            </w:pP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7860" w:type="dxa"/>
            <w:vAlign w:val="bottom"/>
            <w:gridSpan w:val="12"/>
          </w:tcPr>
          <w:p>
            <w:pPr>
              <w:spacing w:after="0"/>
              <w:rPr>
                <w:sz w:val="17"/>
                <w:szCs w:val="17"/>
                <w:color w:val="auto"/>
              </w:rPr>
            </w:pPr>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25</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3.</w:t>
              </w:r>
            </w:hyperlink>
          </w:p>
        </w:tc>
        <w:tc>
          <w:tcPr>
            <w:tcW w:w="560" w:type="dxa"/>
            <w:vAlign w:val="bottom"/>
            <w:gridSpan w:val="7"/>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26</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4.</w:t>
              </w:r>
            </w:hyperlink>
          </w:p>
        </w:tc>
        <w:tc>
          <w:tcPr>
            <w:tcW w:w="560" w:type="dxa"/>
            <w:vAlign w:val="bottom"/>
            <w:gridSpan w:val="7"/>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Submission of Matters to a Vote of Security Holders</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26</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4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5.</w:t>
              </w:r>
            </w:hyperlink>
          </w:p>
        </w:tc>
        <w:tc>
          <w:tcPr>
            <w:tcW w:w="560" w:type="dxa"/>
            <w:vAlign w:val="bottom"/>
            <w:gridSpan w:val="7"/>
          </w:tcPr>
          <w:p>
            <w:pPr>
              <w:spacing w:after="0"/>
              <w:rPr>
                <w:sz w:val="17"/>
                <w:szCs w:val="17"/>
                <w:color w:val="auto"/>
              </w:rPr>
            </w:pPr>
          </w:p>
        </w:tc>
        <w:tc>
          <w:tcPr>
            <w:tcW w:w="82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Market for the Registrant’s Common Stock, Related Stockholder Matters and Issuer Purchases of Equity Securities</w:t>
              </w:r>
            </w:hyperlink>
          </w:p>
        </w:tc>
        <w:tc>
          <w:tcPr>
            <w:tcW w:w="1620" w:type="dxa"/>
            <w:vAlign w:val="bottom"/>
          </w:tcPr>
          <w:p>
            <w:pPr>
              <w:spacing w:after="0"/>
              <w:rPr>
                <w:sz w:val="17"/>
                <w:szCs w:val="17"/>
                <w:color w:val="auto"/>
              </w:rPr>
            </w:pPr>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27</w:t>
            </w:r>
          </w:p>
        </w:tc>
      </w:tr>
      <w:tr>
        <w:trPr>
          <w:trHeight w:val="196"/>
        </w:trPr>
        <w:tc>
          <w:tcPr>
            <w:tcW w:w="520" w:type="dxa"/>
            <w:vAlign w:val="bottom"/>
            <w:gridSpan w:val="2"/>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6.</w:t>
              </w:r>
            </w:hyperlink>
          </w:p>
        </w:tc>
        <w:tc>
          <w:tcPr>
            <w:tcW w:w="560" w:type="dxa"/>
            <w:vAlign w:val="bottom"/>
            <w:gridSpan w:val="7"/>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28</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7.</w:t>
              </w:r>
            </w:hyperlink>
          </w:p>
        </w:tc>
        <w:tc>
          <w:tcPr>
            <w:tcW w:w="560" w:type="dxa"/>
            <w:vAlign w:val="bottom"/>
            <w:gridSpan w:val="7"/>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3440" w:type="dxa"/>
            <w:vAlign w:val="bottom"/>
            <w:gridSpan w:val="4"/>
          </w:tcPr>
          <w:p>
            <w:pPr>
              <w:spacing w:after="0"/>
              <w:rPr>
                <w:sz w:val="17"/>
                <w:szCs w:val="17"/>
                <w:color w:val="auto"/>
              </w:rPr>
            </w:pPr>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29</w:t>
            </w: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Item 7A.</w:t>
              </w:r>
            </w:hyperlink>
          </w:p>
        </w:tc>
        <w:tc>
          <w:tcPr>
            <w:tcW w:w="420" w:type="dxa"/>
            <w:vAlign w:val="bottom"/>
            <w:gridSpan w:val="5"/>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5540" w:type="dxa"/>
            <w:vAlign w:val="bottom"/>
            <w:gridSpan w:val="7"/>
          </w:tcPr>
          <w:p>
            <w:pPr>
              <w:spacing w:after="0"/>
              <w:rPr>
                <w:sz w:val="17"/>
                <w:szCs w:val="17"/>
                <w:color w:val="auto"/>
              </w:rPr>
            </w:pPr>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47</w:t>
            </w:r>
          </w:p>
        </w:tc>
      </w:tr>
      <w:tr>
        <w:trPr>
          <w:trHeight w:val="196"/>
        </w:trPr>
        <w:tc>
          <w:tcPr>
            <w:tcW w:w="520" w:type="dxa"/>
            <w:vAlign w:val="bottom"/>
            <w:gridSpan w:val="2"/>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Item 8.</w:t>
              </w:r>
            </w:hyperlink>
          </w:p>
        </w:tc>
        <w:tc>
          <w:tcPr>
            <w:tcW w:w="560" w:type="dxa"/>
            <w:vAlign w:val="bottom"/>
            <w:gridSpan w:val="7"/>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47</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Item 9.</w:t>
              </w:r>
            </w:hyperlink>
          </w:p>
        </w:tc>
        <w:tc>
          <w:tcPr>
            <w:tcW w:w="560" w:type="dxa"/>
            <w:vAlign w:val="bottom"/>
            <w:gridSpan w:val="7"/>
          </w:tcPr>
          <w:p>
            <w:pPr>
              <w:spacing w:after="0"/>
              <w:rPr>
                <w:sz w:val="17"/>
                <w:szCs w:val="17"/>
                <w:color w:val="auto"/>
              </w:rPr>
            </w:pPr>
          </w:p>
        </w:tc>
        <w:tc>
          <w:tcPr>
            <w:tcW w:w="6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Changes in and Disagreements with Accountants on Accounting and Financial Disclosure</w:t>
              </w:r>
            </w:hyperlink>
          </w:p>
        </w:tc>
        <w:tc>
          <w:tcPr>
            <w:tcW w:w="3420" w:type="dxa"/>
            <w:vAlign w:val="bottom"/>
            <w:gridSpan w:val="3"/>
          </w:tcPr>
          <w:p>
            <w:pPr>
              <w:spacing w:after="0"/>
              <w:rPr>
                <w:sz w:val="17"/>
                <w:szCs w:val="17"/>
                <w:color w:val="auto"/>
              </w:rPr>
            </w:pPr>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47</w:t>
            </w: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Item 9A.</w:t>
              </w:r>
            </w:hyperlink>
          </w:p>
        </w:tc>
        <w:tc>
          <w:tcPr>
            <w:tcW w:w="420" w:type="dxa"/>
            <w:vAlign w:val="bottom"/>
            <w:gridSpan w:val="5"/>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47</w:t>
            </w: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3"/>
              </w:rPr>
            </w:pPr>
            <w:hyperlink w:anchor="page50">
              <w:r>
                <w:rPr>
                  <w:rFonts w:ascii="Arial" w:cs="Arial" w:eastAsia="Arial" w:hAnsi="Arial"/>
                  <w:sz w:val="18"/>
                  <w:szCs w:val="18"/>
                  <w:color w:val="0000EE"/>
                  <w:w w:val="83"/>
                </w:rPr>
                <w:t>Item 9B.</w:t>
              </w:r>
            </w:hyperlink>
          </w:p>
        </w:tc>
        <w:tc>
          <w:tcPr>
            <w:tcW w:w="60" w:type="dxa"/>
            <w:vAlign w:val="bottom"/>
            <w:tcBorders>
              <w:top w:val="single" w:sz="8" w:color="0000EE"/>
            </w:tcBorders>
          </w:tcPr>
          <w:p>
            <w:pPr>
              <w:spacing w:after="0"/>
              <w:rPr>
                <w:sz w:val="17"/>
                <w:szCs w:val="17"/>
                <w:color w:val="auto"/>
              </w:rPr>
            </w:pPr>
          </w:p>
        </w:tc>
        <w:tc>
          <w:tcPr>
            <w:tcW w:w="420" w:type="dxa"/>
            <w:vAlign w:val="bottom"/>
            <w:gridSpan w:val="5"/>
          </w:tcPr>
          <w:p>
            <w:pPr>
              <w:spacing w:after="0"/>
              <w:rPr>
                <w:sz w:val="17"/>
                <w:szCs w:val="17"/>
                <w:color w:val="auto"/>
              </w:rPr>
            </w:pP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8140" w:type="dxa"/>
            <w:vAlign w:val="bottom"/>
            <w:gridSpan w:val="14"/>
          </w:tcPr>
          <w:p>
            <w:pPr>
              <w:spacing w:after="0"/>
              <w:rPr>
                <w:sz w:val="17"/>
                <w:szCs w:val="17"/>
                <w:color w:val="auto"/>
              </w:rPr>
            </w:pPr>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48</w:t>
            </w: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III</w:t>
              </w:r>
            </w:hyperlink>
          </w:p>
        </w:tc>
        <w:tc>
          <w:tcPr>
            <w:tcW w:w="3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1080" w:type="dxa"/>
            <w:vAlign w:val="bottom"/>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10.</w:t>
              </w:r>
            </w:hyperlink>
          </w:p>
        </w:tc>
        <w:tc>
          <w:tcPr>
            <w:tcW w:w="990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Directors, Executive Officers of the Registrant and Corporate Governance</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48</w:t>
            </w: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80" w:type="dxa"/>
            <w:vAlign w:val="bottom"/>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11.</w:t>
              </w:r>
            </w:hyperlink>
          </w:p>
        </w:tc>
        <w:tc>
          <w:tcPr>
            <w:tcW w:w="990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Executive Compensation</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48</w:t>
            </w: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80" w:type="dxa"/>
            <w:vAlign w:val="bottom"/>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12.</w:t>
              </w:r>
            </w:hyperlink>
          </w:p>
        </w:tc>
        <w:tc>
          <w:tcPr>
            <w:tcW w:w="990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Security Ownership of Certain Beneficial Owners and Management and Related Stockholder Matters</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48</w:t>
            </w: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80" w:type="dxa"/>
            <w:vAlign w:val="bottom"/>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13.</w:t>
              </w:r>
            </w:hyperlink>
          </w:p>
        </w:tc>
        <w:tc>
          <w:tcPr>
            <w:tcW w:w="990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Transactions, and Director Independence</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48</w:t>
            </w: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80" w:type="dxa"/>
            <w:vAlign w:val="bottom"/>
            <w:gridSpan w:val="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14.</w:t>
              </w:r>
            </w:hyperlink>
          </w:p>
        </w:tc>
        <w:tc>
          <w:tcPr>
            <w:tcW w:w="99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Principal Accountant Fees and Services</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49</w:t>
            </w: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80" w:type="dxa"/>
            <w:vAlign w:val="bottom"/>
            <w:gridSpan w:val="9"/>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IV</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15.</w:t>
              </w:r>
            </w:hyperlink>
          </w:p>
        </w:tc>
        <w:tc>
          <w:tcPr>
            <w:tcW w:w="360" w:type="dxa"/>
            <w:vAlign w:val="bottom"/>
            <w:gridSpan w:val="3"/>
          </w:tcPr>
          <w:p>
            <w:pPr>
              <w:spacing w:after="0"/>
              <w:rPr>
                <w:sz w:val="17"/>
                <w:szCs w:val="17"/>
                <w:color w:val="auto"/>
              </w:rPr>
            </w:pPr>
          </w:p>
        </w:tc>
        <w:tc>
          <w:tcPr>
            <w:tcW w:w="99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Exhibits and Financial Statement Schedules</w:t>
              </w:r>
            </w:hyperlink>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49</w:t>
            </w: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80" w:type="dxa"/>
            <w:vAlign w:val="bottom"/>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50</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920" w:type="dxa"/>
            <w:vAlign w:val="bottom"/>
            <w:gridSpan w:val="29"/>
          </w:tcPr>
          <w:p>
            <w:pPr>
              <w:spacing w:after="0" w:line="196" w:lineRule="exact"/>
              <w:rPr>
                <w:sz w:val="20"/>
                <w:szCs w:val="20"/>
                <w:color w:val="auto"/>
              </w:rPr>
            </w:pPr>
            <w:r>
              <w:rPr>
                <w:rFonts w:ascii="Arial" w:cs="Arial" w:eastAsia="Arial" w:hAnsi="Arial"/>
                <w:sz w:val="18"/>
                <w:szCs w:val="18"/>
                <w:color w:val="0000EE"/>
              </w:rPr>
              <w:t>EXHIBIT 10.11</w:t>
            </w:r>
          </w:p>
        </w:tc>
        <w:tc>
          <w:tcPr>
            <w:tcW w:w="4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future economic conditions and performance;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under the heading “Risk Factors” in Item 1A,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www.viasat.com. The information on our website does not constitute part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are a leading producer of innovative satellite and other wireless communications and networking systems to government and commercial customers. Our ability to apply technologies between government and commercial customers combined with our diversification of technologies, products and customers, provides us with a strong foundation to sustain and enhance our leadership in advanced wireless communications and networking technologies. Generally, our sales consist of:</w:t>
      </w:r>
    </w:p>
    <w:p>
      <w:pPr>
        <w:spacing w:after="0" w:line="79" w:lineRule="exact"/>
        <w:rPr>
          <w:sz w:val="20"/>
          <w:szCs w:val="20"/>
          <w:color w:val="auto"/>
        </w:rPr>
      </w:pPr>
    </w:p>
    <w:p>
      <w:pPr>
        <w:ind w:left="660" w:right="2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Project contracts to study, research, develop, test, support, and manufacture customized communication systems or products. Research and development costs for these customized projects and products are often customer funded. Once completed, many of our customized communications products are later marketed and sold to other customers as standard “off-the-shelf” products;</w:t>
      </w:r>
    </w:p>
    <w:p>
      <w:pPr>
        <w:spacing w:after="0" w:line="86"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Selling, deploying and supporting our standard “off-the-shelf” products, which are generally developed through a combination of customer and discretionary internal research and development funding; or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Selling managed network satellite services to enterprise and mobile broadband customers.</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Our customers include a variety of government and commercial entities. Our individual contracts may range in value from thousands of dollars to tens of millions of dollars.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We principally operate in three segments — government systems, commercial networks and satellite services. Our government systems business is focused on network-centric government communications, where we develop and produce systems and specialized equipment for government customers for tactical data links, unmanned aerial vehicles, secure networking, signal processing and generation, and satellite communications applications. Within our commercial networks segment, we develop and produce systems and products for consumer, enterprise and mobile (aviation and maritime) broadband customers. Our satellite services segment provides managed network satellite services to enterprise and mobile broadband customers. Common to our market segments is the development of communications solutions which focus on Internet Protocol (IP) based communications. Financial information regarding our reporting segments and the geographic areas in which we operate is included in the consolidated financial statements and notes thereto, including Note 13 - Segment Information.</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Our government systems products and solutions have grown significantly over the past five years and we believe three factors contribute to our success in this area:</w:t>
      </w:r>
    </w:p>
    <w:p>
      <w:pPr>
        <w:spacing w:after="0" w:line="62" w:lineRule="exact"/>
        <w:rPr>
          <w:sz w:val="20"/>
          <w:szCs w:val="20"/>
          <w:color w:val="auto"/>
        </w:rPr>
      </w:pPr>
    </w:p>
    <w:p>
      <w:pPr>
        <w:ind w:left="660" w:right="80" w:hanging="436"/>
        <w:spacing w:after="0" w:line="25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critical role of collection and dissemination of real-time information in executing high-speed, high-precision, highly mobile warfare over dispersed geographic areas, which has two important aspects. The first is reflected in the U.S. Department of Defense (DoD) transition to “network-centric warfare,” which emphasizes the importance of real time data networks of all types via multiple transmission media. The second is the growing importance of satellite-based communications, in particular, as the most reliable method of connecting rapidly moving forces who may simply out-run the range of terrestrial radio links.</w:t>
      </w:r>
    </w:p>
    <w:p>
      <w:pPr>
        <w:spacing w:after="0" w:line="93" w:lineRule="exact"/>
        <w:rPr>
          <w:rFonts w:ascii="Arial" w:cs="Arial" w:eastAsia="Arial" w:hAnsi="Arial"/>
          <w:sz w:val="18"/>
          <w:szCs w:val="18"/>
          <w:b w:val="1"/>
          <w:bCs w:val="1"/>
          <w:color w:val="auto"/>
        </w:rPr>
      </w:pPr>
    </w:p>
    <w:p>
      <w:pPr>
        <w:ind w:left="660" w:right="12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growing importance of IP networks in the DoD compared to older circuit-based systems — especially in light of the DoD’s increased emphasis on network-centric warfare. We believe IP networks will drive a fundamental restructuring of DoD’s secure information networks, which will take several years to complete.</w:t>
      </w:r>
    </w:p>
    <w:p>
      <w:pPr>
        <w:spacing w:after="0" w:line="86" w:lineRule="exact"/>
        <w:rPr>
          <w:rFonts w:ascii="Arial" w:cs="Arial" w:eastAsia="Arial" w:hAnsi="Arial"/>
          <w:sz w:val="18"/>
          <w:szCs w:val="18"/>
          <w:b w:val="1"/>
          <w:bCs w:val="1"/>
          <w:color w:val="auto"/>
        </w:rPr>
      </w:pPr>
    </w:p>
    <w:p>
      <w:pPr>
        <w:ind w:left="660" w:right="18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believe that over the next decade or so many of the previous generation of defense communications satellite networks will expire or become obsolete. New programs are underway or in planning to define, develop, procure and deploy systems to replace them. While we have been successful in capturing defense satellite ground system business in the past, we believe these new programs present more opportunities for bidding on new contracts than we have seen historically.</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believe these fundamentals will continue to offer growth opportunities for each of our government product areas over the next several years.</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117"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The essential advantage of satellite communications is that it allows a network provider to rapidly deploy new communications services to large numbers of people anywhere within the footprint of the satellite. Consequently, satellites can often be used to deploy communication services in developed and developing markets in a shorter period of time and in a more cost-efficient manner than building ground-based infrastructure. Moreover, in some areas, satellite solutions are less expensive than terrestrial wired and wireless alternatives. As satellite communications equipment becomes less expensive and new capabilities emerge in satellite communications technology, we believe the market for satellite communications offers growth opportunities.</w:t>
      </w:r>
    </w:p>
    <w:p>
      <w:pPr>
        <w:spacing w:after="0" w:line="50"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commercial satellite communications industry is expected to be driven by the following major factors: (1) world-wide demand for communications services in general, with continued high growth in internet traffic in particular, (2) the improving cost-effectiveness of satellite communications for many uses, (3) recent technological advancements which broaden applications for and increase the capacity and efficiency of satellite based networks, and (4) global deregulation and privatization of government-owned telecommunications carriers.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satellite services segment encompasses three primary areas: managed broadband services, mobile broadband services and, in the future, wholesale bandwidth services. For everyday enterprise networking or backup protection for primary networks, our managed broadband service provides a combination of terrestrial and satellite connections through an around-the-clock call center and network management operation to ensure customer network availability and reliable digital satellite communications. Our mobile broadband service includes network management services for our customers who utilize our Arclight-based mobile communication systems, also through our network management center. In 2008, we began construction of a high-speed Ka-band satellite in order to provide wholesale broadband services over North America, which we anticipate will become available beginning in 2011.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ViaSat Solution</w:t>
      </w:r>
    </w:p>
    <w:p>
      <w:pPr>
        <w:spacing w:after="0" w:line="121" w:lineRule="exact"/>
        <w:rPr>
          <w:sz w:val="20"/>
          <w:szCs w:val="20"/>
          <w:color w:val="auto"/>
        </w:rPr>
      </w:pPr>
    </w:p>
    <w:p>
      <w:pPr>
        <w:ind w:right="680" w:firstLine="222"/>
        <w:spacing w:after="0" w:line="277" w:lineRule="auto"/>
        <w:rPr>
          <w:sz w:val="20"/>
          <w:szCs w:val="20"/>
          <w:color w:val="auto"/>
        </w:rPr>
      </w:pPr>
      <w:r>
        <w:rPr>
          <w:rFonts w:ascii="Arial" w:cs="Arial" w:eastAsia="Arial" w:hAnsi="Arial"/>
          <w:sz w:val="18"/>
          <w:szCs w:val="18"/>
          <w:color w:val="auto"/>
        </w:rPr>
        <w:t>We believe our ability to design and deliver end-to-end cost-effective satellite, wireless and secure networking solutions enables us to provide our government and commercial customers, including consumer, enterprise and mobile customers, with a superior solution.</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government systems communication products help our customers collect, process, protect, and disseminate information — in all its digital forms — to make better decisions faster. Our network-centric satellite and wireless communication products are used by tactical armed forces, first-responders, and remote government employees to increase the effectiveness, ease-of-use, and security of communication systems. We believe our long standing history of developing complex secure wireless and satellite networking communications technologies for both government and commercial customers provides us with opportunities for growth as the U.S. military looks to upgrade its secure wireless and satellite technology with a mix of customized and commercial technologies.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and Satellite Services</w:t>
      </w:r>
    </w:p>
    <w:p>
      <w:pPr>
        <w:spacing w:after="0" w:line="117" w:lineRule="exact"/>
        <w:rPr>
          <w:sz w:val="20"/>
          <w:szCs w:val="20"/>
          <w:color w:val="auto"/>
        </w:rPr>
      </w:pPr>
    </w:p>
    <w:p>
      <w:pPr>
        <w:ind w:right="340" w:firstLine="222"/>
        <w:spacing w:after="0" w:line="264" w:lineRule="auto"/>
        <w:rPr>
          <w:sz w:val="20"/>
          <w:szCs w:val="20"/>
          <w:color w:val="auto"/>
        </w:rPr>
      </w:pPr>
      <w:r>
        <w:rPr>
          <w:rFonts w:ascii="Arial" w:cs="Arial" w:eastAsia="Arial" w:hAnsi="Arial"/>
          <w:sz w:val="18"/>
          <w:szCs w:val="18"/>
          <w:color w:val="auto"/>
        </w:rPr>
        <w:t>We provide a variety of satellite communications network solutions for multiple sectors of the commercial market. Our commercial networks segment principally provides networking hardware and software to satellite or communications service providers. Our satellite services segment mainly provides managed network services, often to these same customers, creating an integrated solution.</w:t>
      </w:r>
    </w:p>
    <w:p>
      <w:pPr>
        <w:spacing w:after="0" w:line="73" w:lineRule="exact"/>
        <w:rPr>
          <w:sz w:val="20"/>
          <w:szCs w:val="20"/>
          <w:color w:val="auto"/>
        </w:rPr>
      </w:pPr>
    </w:p>
    <w:p>
      <w:pPr>
        <w:ind w:left="900" w:right="80" w:hanging="446"/>
        <w:spacing w:after="0" w:line="286" w:lineRule="auto"/>
        <w:tabs>
          <w:tab w:leader="none" w:pos="90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Broadband Internet Applications. </w:t>
      </w:r>
      <w:r>
        <w:rPr>
          <w:rFonts w:ascii="Arial" w:cs="Arial" w:eastAsia="Arial" w:hAnsi="Arial"/>
          <w:sz w:val="16"/>
          <w:szCs w:val="16"/>
          <w:color w:val="auto"/>
        </w:rPr>
        <w:t>In recent years, there has been an increase in the use of satellites to carry broadband Internet traffic. This</w:t>
      </w:r>
      <w:r>
        <w:rPr>
          <w:rFonts w:ascii="Arial" w:cs="Arial" w:eastAsia="Arial" w:hAnsi="Arial"/>
          <w:sz w:val="16"/>
          <w:szCs w:val="16"/>
          <w:i w:val="1"/>
          <w:iCs w:val="1"/>
          <w:color w:val="auto"/>
        </w:rPr>
        <w:t xml:space="preserve"> </w:t>
      </w:r>
      <w:r>
        <w:rPr>
          <w:rFonts w:ascii="Arial" w:cs="Arial" w:eastAsia="Arial" w:hAnsi="Arial"/>
          <w:sz w:val="16"/>
          <w:szCs w:val="16"/>
          <w:color w:val="auto"/>
        </w:rPr>
        <w:t>growth has been centered on connecting consumers and businesses with the Internet. Satellite capacity is often used where fiber-optic cable is prohibitively expensive or rare, such as suburban and rural areas or developing countries. More recently, satellite operators have invested in and launched next generation spot-beam satellites specifically designed for low-cost broadband access. However, we do not believe these satellites are equipped to deliver acceptable levels of service. In January 2008, we announced our plans to develop and launch ViaSat-1, a high-capacity, high-speed Ka-band spot-beam satellite planned for launch in early 2011. At the time of launch, ViaSat-1 is expected to be the highest capacity, most cost efficient satellite in the world. With the market demonstrating high demand for satellite broadband services, ViaSat-1 is designed to significantly expand the quality, capability and availability of high-speed broadband satellite services for U.S. consumers and enterprises. ViaSat plans to offer wholesale network services on the ViaSat-1 satellite to national and regional distribution partners (in most cases retail service providers or telephone companies). We expect satellite communications to continue to offer a cost-effective augmentation capability for Internet Service Providers (ISPs) and service providers offering broadband internet access, particularly in markets where ground-based broadband networks are unlikely to be either cost-effective or abundant. Additionally, satellites provide an alternative for ISPs, which are dealing with congestion associated with the distribution of increasing amounts of high-capacity multimedia content on the Internet.</w:t>
      </w:r>
    </w:p>
    <w:p>
      <w:pPr>
        <w:spacing w:after="0" w:line="80" w:lineRule="exact"/>
        <w:rPr>
          <w:rFonts w:ascii="Arial" w:cs="Arial" w:eastAsia="Arial" w:hAnsi="Arial"/>
          <w:sz w:val="16"/>
          <w:szCs w:val="16"/>
          <w:b w:val="1"/>
          <w:bCs w:val="1"/>
          <w:color w:val="auto"/>
        </w:rPr>
      </w:pPr>
    </w:p>
    <w:p>
      <w:pPr>
        <w:ind w:left="900" w:right="60" w:hanging="446"/>
        <w:spacing w:after="0" w:line="272" w:lineRule="auto"/>
        <w:tabs>
          <w:tab w:leader="none" w:pos="90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Data Networks. </w:t>
      </w:r>
      <w:r>
        <w:rPr>
          <w:rFonts w:ascii="Arial" w:cs="Arial" w:eastAsia="Arial" w:hAnsi="Arial"/>
          <w:sz w:val="17"/>
          <w:szCs w:val="17"/>
          <w:color w:val="auto"/>
        </w:rPr>
        <w:t>Satellite networks are also well suited for data networks which focus on (1) rapidly deploying new services across large</w:t>
      </w:r>
      <w:r>
        <w:rPr>
          <w:rFonts w:ascii="Arial" w:cs="Arial" w:eastAsia="Arial" w:hAnsi="Arial"/>
          <w:sz w:val="17"/>
          <w:szCs w:val="17"/>
          <w:i w:val="1"/>
          <w:iCs w:val="1"/>
          <w:color w:val="auto"/>
        </w:rPr>
        <w:t xml:space="preserve"> </w:t>
      </w:r>
      <w:r>
        <w:rPr>
          <w:rFonts w:ascii="Arial" w:cs="Arial" w:eastAsia="Arial" w:hAnsi="Arial"/>
          <w:sz w:val="17"/>
          <w:szCs w:val="17"/>
          <w:color w:val="auto"/>
        </w:rPr>
        <w:t>geographic areas, (2) reaching multiple user locations separated by long distances, (3) filling in gaps or providing support for data points of congestion, or bottlenecks in ground-based communications networks, and (4) providing communications capabilities in remote locations and in developing countries where ground-based infrastructure has not yet been developed. In addition, satellite networks are used as a substitute for, or supplement to, ground-based communications services such as frame relay, digital subscriber lines, fiber optic cables, and Integrated Services Digital Networks (ISDN). We believe satellite data network products and services will present us with growth opportunities as commercial data networks using satellites are applied in developed and developing markets throughout the world.</w:t>
      </w:r>
    </w:p>
    <w:p>
      <w:pPr>
        <w:spacing w:after="0" w:line="70" w:lineRule="exact"/>
        <w:rPr>
          <w:sz w:val="20"/>
          <w:szCs w:val="20"/>
          <w:color w:val="auto"/>
        </w:rPr>
      </w:pPr>
    </w:p>
    <w:p>
      <w:pPr>
        <w:ind w:right="100" w:firstLine="222"/>
        <w:spacing w:after="0" w:line="286" w:lineRule="auto"/>
        <w:rPr>
          <w:sz w:val="20"/>
          <w:szCs w:val="20"/>
          <w:color w:val="auto"/>
        </w:rPr>
      </w:pPr>
      <w:r>
        <w:rPr>
          <w:rFonts w:ascii="Arial" w:cs="Arial" w:eastAsia="Arial" w:hAnsi="Arial"/>
          <w:sz w:val="17"/>
          <w:szCs w:val="17"/>
          <w:color w:val="auto"/>
        </w:rPr>
        <w:t>We believe our ability to design and deliver end-to-end cost-effective satellite networking solutions, including the provisioning of high-capacity satellites, the ground network including the RF gateways and network infrastructure, the end-user terminals and equipment, and network management and services enables us to provide our consumer, enterprise and mobile satellite, wireless and networking customers with a superior solution.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ViaSat Strategy</w:t>
      </w:r>
    </w:p>
    <w:p>
      <w:pPr>
        <w:spacing w:after="0" w:line="121"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Our objective is to leverage our advanced technology and capabilities to (1) increase our role as the government transitions to IP-based, highly-secure, network-centric based warfare, (2) develop high-performance, feature rich, low-cost technology to grow the size of the consumer satellite broadband, commercial enterprise and networking markets, while also capturing a significant share of these growing markets, and (3) maintain a leadership position, while reducing costs and increasing profitability, in our legacy satellite and wireless communications markets. The principal elements of our strategy include:</w:t>
      </w:r>
    </w:p>
    <w:p>
      <w:pPr>
        <w:spacing w:after="0" w:line="46" w:lineRule="exact"/>
        <w:rPr>
          <w:sz w:val="20"/>
          <w:szCs w:val="20"/>
          <w:color w:val="auto"/>
        </w:rPr>
      </w:pPr>
    </w:p>
    <w:p>
      <w:pPr>
        <w:jc w:val="both"/>
        <w:ind w:left="900" w:right="200" w:hanging="446"/>
        <w:spacing w:after="0" w:line="302" w:lineRule="auto"/>
        <w:tabs>
          <w:tab w:leader="none" w:pos="90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A complementary mix of defense and commercial products, projects, and geographic markets. </w:t>
      </w:r>
      <w:r>
        <w:rPr>
          <w:rFonts w:ascii="Arial" w:cs="Arial" w:eastAsia="Arial" w:hAnsi="Arial"/>
          <w:sz w:val="16"/>
          <w:szCs w:val="16"/>
          <w:color w:val="auto"/>
        </w:rPr>
        <w:t>We aim for a diversified mix of products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unified through common underlying technologies, customer applications, market relationships or other factors. We believe this complementary mix, combined with our ability to effectively apply technologies between government and commercial markets and across different geographic markets, provides us a strong foundation to sustain and enhance our leadership in advanced communications and networking technologies.</w:t>
      </w:r>
    </w:p>
    <w:p>
      <w:pPr>
        <w:spacing w:after="0" w:line="59" w:lineRule="exact"/>
        <w:rPr>
          <w:rFonts w:ascii="Arial" w:cs="Arial" w:eastAsia="Arial" w:hAnsi="Arial"/>
          <w:sz w:val="16"/>
          <w:szCs w:val="16"/>
          <w:b w:val="1"/>
          <w:bCs w:val="1"/>
          <w:color w:val="auto"/>
        </w:rPr>
      </w:pPr>
    </w:p>
    <w:p>
      <w:pPr>
        <w:ind w:left="900" w:right="60" w:hanging="446"/>
        <w:spacing w:after="0" w:line="264"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Augment customer funded research and development with discretionary research and development to enter or leverage new markets or technologies. </w:t>
      </w:r>
      <w:r>
        <w:rPr>
          <w:rFonts w:ascii="Arial" w:cs="Arial" w:eastAsia="Arial" w:hAnsi="Arial"/>
          <w:sz w:val="18"/>
          <w:szCs w:val="18"/>
          <w:color w:val="auto"/>
        </w:rPr>
        <w:t>We use the availability of customer funding or co-investments for product development as an important factor in choosing where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our own discretionary research and development resources.</w:t>
      </w:r>
    </w:p>
    <w:p>
      <w:pPr>
        <w:spacing w:after="0" w:line="86" w:lineRule="exact"/>
        <w:rPr>
          <w:rFonts w:ascii="Arial" w:cs="Arial" w:eastAsia="Arial" w:hAnsi="Arial"/>
          <w:sz w:val="18"/>
          <w:szCs w:val="18"/>
          <w:b w:val="1"/>
          <w:bCs w:val="1"/>
          <w:color w:val="auto"/>
        </w:rPr>
      </w:pPr>
    </w:p>
    <w:p>
      <w:pPr>
        <w:ind w:left="900" w:right="40" w:hanging="446"/>
        <w:spacing w:after="0" w:line="259"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Address increasingly larger markets. </w:t>
      </w:r>
      <w:r>
        <w:rPr>
          <w:rFonts w:ascii="Arial" w:cs="Arial" w:eastAsia="Arial" w:hAnsi="Arial"/>
          <w:sz w:val="18"/>
          <w:szCs w:val="18"/>
          <w:color w:val="auto"/>
        </w:rPr>
        <w:t>We have focused on addressing larger markets since our inception. The size of customer-funded</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we can credibly address directly correlates to our annual revenue. By increasing the size of target markets we anticipate increasing our total revenues, and as a result we anticipate we will be more successful in capturing customer-funded research and development opportunities for increasingly larger projects.</w:t>
      </w:r>
    </w:p>
    <w:p>
      <w:pPr>
        <w:spacing w:after="0" w:line="92" w:lineRule="exact"/>
        <w:rPr>
          <w:rFonts w:ascii="Arial" w:cs="Arial" w:eastAsia="Arial" w:hAnsi="Arial"/>
          <w:sz w:val="18"/>
          <w:szCs w:val="18"/>
          <w:b w:val="1"/>
          <w:bCs w:val="1"/>
          <w:color w:val="auto"/>
        </w:rPr>
      </w:pPr>
    </w:p>
    <w:p>
      <w:pPr>
        <w:ind w:left="900" w:right="140" w:hanging="446"/>
        <w:spacing w:after="0" w:line="25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Steadily evolve into adjacent technologies and markets. </w:t>
      </w:r>
      <w:r>
        <w:rPr>
          <w:rFonts w:ascii="Arial" w:cs="Arial" w:eastAsia="Arial" w:hAnsi="Arial"/>
          <w:sz w:val="18"/>
          <w:szCs w:val="18"/>
          <w:color w:val="auto"/>
        </w:rPr>
        <w:t>We anticipate continued growth via evolutionary steps into adjacent technologies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We seek to grow the market segments we address by selling existing, or customized, versions of technologies we developed for one customer base to a different market, for instance, to different segments of the government market, or between government and commercial markets. In addition, we seek to expand the breadth of technologies and products we offer by selling new, but related, technologies and products to existing customers.</w:t>
      </w:r>
    </w:p>
    <w:p>
      <w:pPr>
        <w:spacing w:after="0" w:line="93" w:lineRule="exact"/>
        <w:rPr>
          <w:rFonts w:ascii="Arial" w:cs="Arial" w:eastAsia="Arial" w:hAnsi="Arial"/>
          <w:sz w:val="18"/>
          <w:szCs w:val="18"/>
          <w:b w:val="1"/>
          <w:bCs w:val="1"/>
          <w:color w:val="auto"/>
        </w:rPr>
      </w:pPr>
    </w:p>
    <w:p>
      <w:pPr>
        <w:ind w:left="900" w:right="60" w:hanging="446"/>
        <w:spacing w:after="0" w:line="259"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Careful targeting of new market opportunities. </w:t>
      </w:r>
      <w:r>
        <w:rPr>
          <w:rFonts w:ascii="Arial" w:cs="Arial" w:eastAsia="Arial" w:hAnsi="Arial"/>
          <w:sz w:val="18"/>
          <w:szCs w:val="18"/>
          <w:color w:val="auto"/>
        </w:rPr>
        <w:t>We consider several factors in selecting new market opportunities, including (1)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meaningful entry barriers for new competitors (for example, specialized technologies or relationships), (2) the new market is the right size and consistent with our growth objectives (market niches large enough to provide us significant revenues), and (3) the customers in the market value our technology competence and focus, which makes us an attractive partner.</w:t>
      </w:r>
    </w:p>
    <w:p>
      <w:pPr>
        <w:spacing w:after="0" w:line="92" w:lineRule="exact"/>
        <w:rPr>
          <w:rFonts w:ascii="Arial" w:cs="Arial" w:eastAsia="Arial" w:hAnsi="Arial"/>
          <w:sz w:val="18"/>
          <w:szCs w:val="18"/>
          <w:b w:val="1"/>
          <w:bCs w:val="1"/>
          <w:color w:val="auto"/>
        </w:rPr>
      </w:pPr>
    </w:p>
    <w:p>
      <w:pPr>
        <w:ind w:left="900" w:right="60" w:hanging="446"/>
        <w:spacing w:after="0" w:line="297" w:lineRule="auto"/>
        <w:tabs>
          <w:tab w:leader="none" w:pos="90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Sustain a large (relative to our size) and highly proficient engineering staff to capture and perform our target projects. </w:t>
      </w:r>
      <w:r>
        <w:rPr>
          <w:rFonts w:ascii="Arial" w:cs="Arial" w:eastAsia="Arial" w:hAnsi="Arial"/>
          <w:sz w:val="16"/>
          <w:szCs w:val="16"/>
          <w:color w:val="auto"/>
        </w:rPr>
        <w:t>Since customer-funded</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is an important aspect of our business, we believe it is important to sustain a large, highly competent, engineering team. We believe we offer very competitive compensation, benefits and work environment to attract and maintain employees. Perhaps even more important, we tend to seek and attract engineers who embrace our business approach and the associated technology challenges it offers. So far, this has enabled us to offer our customers high product performance, reduced technological risks, and competitive pricing.</w:t>
      </w:r>
    </w:p>
    <w:p>
      <w:pPr>
        <w:spacing w:after="0" w:line="63" w:lineRule="exact"/>
        <w:rPr>
          <w:rFonts w:ascii="Arial" w:cs="Arial" w:eastAsia="Arial" w:hAnsi="Arial"/>
          <w:sz w:val="16"/>
          <w:szCs w:val="16"/>
          <w:b w:val="1"/>
          <w:bCs w:val="1"/>
          <w:color w:val="auto"/>
        </w:rPr>
      </w:pPr>
    </w:p>
    <w:p>
      <w:pPr>
        <w:ind w:left="900" w:right="60" w:hanging="446"/>
        <w:spacing w:after="0" w:line="25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High quality, cost effective outsourced manufacturing supply chain. </w:t>
      </w:r>
      <w:r>
        <w:rPr>
          <w:rFonts w:ascii="Arial" w:cs="Arial" w:eastAsia="Arial" w:hAnsi="Arial"/>
          <w:sz w:val="18"/>
          <w:szCs w:val="18"/>
          <w:color w:val="auto"/>
        </w:rPr>
        <w:t>Since inception, we have chosen to strategically outsource much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operations. We believe this reduces operating costs, reduces capital investments, facilitates rapid adoption of the most modern and effective manufacturing technologies, provides flexible response to fluctuating product demand, and focuses our resources on designing for producibility. We manage out-sourced manufacturing through our AS9100 and ISO-9001 Quality Management System (QMS) processes and have established enduring relationships with key suppliers.</w:t>
      </w:r>
    </w:p>
    <w:p>
      <w:pPr>
        <w:spacing w:after="0" w:line="93" w:lineRule="exact"/>
        <w:rPr>
          <w:rFonts w:ascii="Arial" w:cs="Arial" w:eastAsia="Arial" w:hAnsi="Arial"/>
          <w:sz w:val="18"/>
          <w:szCs w:val="18"/>
          <w:b w:val="1"/>
          <w:bCs w:val="1"/>
          <w:color w:val="auto"/>
        </w:rPr>
      </w:pPr>
    </w:p>
    <w:p>
      <w:pPr>
        <w:ind w:left="900" w:hanging="446"/>
        <w:spacing w:after="0" w:line="255"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Strategic alliances. </w:t>
      </w:r>
      <w:r>
        <w:rPr>
          <w:rFonts w:ascii="Arial" w:cs="Arial" w:eastAsia="Arial" w:hAnsi="Arial"/>
          <w:sz w:val="18"/>
          <w:szCs w:val="18"/>
          <w:color w:val="auto"/>
        </w:rPr>
        <w:t>In the past, we have engaged in strategic relationships and have acquired companies that have innovative technologies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highly skilled personnel, market presence, and customer relationships and distribution channels that complement our strategy. On an ongoing basis, we may evaluate acquisitions of, or investments in, complementary companies, businesses, products or technologies to supplement our internal growth. In addition, we have regularly entered into teaming arrangements with other government contractors to more effectively capture complex government programs, and we expect to continue to actively seek strategic relationships and ventures with companies whose financial, marketing, operational or technological resources can accelerate the introduction of new technologies and the penetration of new markets.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These key elements of our strategy have remained relatively unchanged for the past seven years; a period where we have experienced significant profitable growth in our government and commercial businesses. We believe these key strategy elements are enduring and will continue to enable us to grow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Product Portfolio</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products and service offerings address three main markets: government systems, commercial networks and satellite broadband services.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w:t>
            </w:r>
          </w:p>
        </w:tc>
        <w:tc>
          <w:tcPr>
            <w:tcW w:w="24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Market Area</w:t>
            </w:r>
          </w:p>
        </w:tc>
        <w:tc>
          <w:tcPr>
            <w:tcW w:w="7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Description of Products/Functionality</w:t>
            </w:r>
          </w:p>
        </w:tc>
      </w:tr>
      <w:tr>
        <w:trPr>
          <w:trHeight w:val="209"/>
        </w:trPr>
        <w:tc>
          <w:tcPr>
            <w:tcW w:w="1920" w:type="dxa"/>
            <w:vAlign w:val="bottom"/>
          </w:tcPr>
          <w:p>
            <w:pPr>
              <w:spacing w:after="0"/>
              <w:rPr>
                <w:sz w:val="20"/>
                <w:szCs w:val="20"/>
                <w:color w:val="auto"/>
              </w:rPr>
            </w:pPr>
            <w:r>
              <w:rPr>
                <w:rFonts w:ascii="Arial" w:cs="Arial" w:eastAsia="Arial" w:hAnsi="Arial"/>
                <w:sz w:val="18"/>
                <w:szCs w:val="18"/>
                <w:color w:val="auto"/>
              </w:rPr>
              <w:t>Government Systems</w:t>
            </w:r>
          </w:p>
        </w:tc>
        <w:tc>
          <w:tcPr>
            <w:tcW w:w="2440" w:type="dxa"/>
            <w:vAlign w:val="bottom"/>
          </w:tcPr>
          <w:p>
            <w:pPr>
              <w:ind w:left="260"/>
              <w:spacing w:after="0"/>
              <w:rPr>
                <w:sz w:val="20"/>
                <w:szCs w:val="20"/>
                <w:color w:val="auto"/>
              </w:rPr>
            </w:pPr>
            <w:r>
              <w:rPr>
                <w:rFonts w:ascii="Arial" w:cs="Arial" w:eastAsia="Arial" w:hAnsi="Arial"/>
                <w:sz w:val="18"/>
                <w:szCs w:val="18"/>
                <w:color w:val="auto"/>
              </w:rPr>
              <w:t>Data Links</w:t>
            </w:r>
          </w:p>
        </w:tc>
        <w:tc>
          <w:tcPr>
            <w:tcW w:w="7060" w:type="dxa"/>
            <w:vAlign w:val="bottom"/>
          </w:tcPr>
          <w:p>
            <w:pPr>
              <w:ind w:left="220"/>
              <w:spacing w:after="0"/>
              <w:rPr>
                <w:sz w:val="20"/>
                <w:szCs w:val="20"/>
                <w:color w:val="auto"/>
              </w:rPr>
            </w:pPr>
            <w:r>
              <w:rPr>
                <w:rFonts w:ascii="Arial" w:cs="Arial" w:eastAsia="Arial" w:hAnsi="Arial"/>
                <w:sz w:val="18"/>
                <w:szCs w:val="18"/>
                <w:color w:val="auto"/>
              </w:rPr>
              <w:t>Line of sight, jam-resistant, secure networking for voice and data; video links transmit</w:t>
            </w:r>
          </w:p>
        </w:tc>
      </w:tr>
      <w:tr>
        <w:trPr>
          <w:trHeight w:val="230"/>
        </w:trPr>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simultaneous IP data, compressed video, metadata, and audio from multiple sensors.</w:t>
            </w:r>
          </w:p>
        </w:tc>
      </w:tr>
      <w:tr>
        <w:trPr>
          <w:trHeight w:val="418"/>
        </w:trPr>
        <w:tc>
          <w:tcPr>
            <w:tcW w:w="192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Arial" w:cs="Arial" w:eastAsia="Arial" w:hAnsi="Arial"/>
                <w:sz w:val="18"/>
                <w:szCs w:val="18"/>
                <w:color w:val="auto"/>
              </w:rPr>
              <w:t>Tactical Networking</w:t>
            </w:r>
          </w:p>
        </w:tc>
        <w:tc>
          <w:tcPr>
            <w:tcW w:w="7060" w:type="dxa"/>
            <w:vAlign w:val="bottom"/>
          </w:tcPr>
          <w:p>
            <w:pPr>
              <w:ind w:left="220"/>
              <w:spacing w:after="0"/>
              <w:rPr>
                <w:sz w:val="20"/>
                <w:szCs w:val="20"/>
                <w:color w:val="auto"/>
              </w:rPr>
            </w:pPr>
            <w:r>
              <w:rPr>
                <w:rFonts w:ascii="Arial" w:cs="Arial" w:eastAsia="Arial" w:hAnsi="Arial"/>
                <w:sz w:val="18"/>
                <w:szCs w:val="18"/>
                <w:color w:val="auto"/>
                <w:w w:val="98"/>
              </w:rPr>
              <w:t>Tactical radios that deliver an IP-based common operating picture - even over severely</w:t>
            </w:r>
          </w:p>
        </w:tc>
      </w:tr>
      <w:tr>
        <w:trPr>
          <w:trHeight w:val="230"/>
        </w:trPr>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degraded radio channels.</w:t>
            </w:r>
          </w:p>
        </w:tc>
      </w:tr>
      <w:tr>
        <w:trPr>
          <w:trHeight w:val="432"/>
        </w:trPr>
        <w:tc>
          <w:tcPr>
            <w:tcW w:w="192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Arial" w:cs="Arial" w:eastAsia="Arial" w:hAnsi="Arial"/>
                <w:sz w:val="18"/>
                <w:szCs w:val="18"/>
                <w:color w:val="auto"/>
              </w:rPr>
              <w:t>Information Assurance</w:t>
            </w:r>
          </w:p>
        </w:tc>
        <w:tc>
          <w:tcPr>
            <w:tcW w:w="7060" w:type="dxa"/>
            <w:vAlign w:val="bottom"/>
          </w:tcPr>
          <w:p>
            <w:pPr>
              <w:ind w:left="220"/>
              <w:spacing w:after="0"/>
              <w:rPr>
                <w:sz w:val="20"/>
                <w:szCs w:val="20"/>
                <w:color w:val="auto"/>
              </w:rPr>
            </w:pPr>
            <w:r>
              <w:rPr>
                <w:rFonts w:ascii="Arial" w:cs="Arial" w:eastAsia="Arial" w:hAnsi="Arial"/>
                <w:sz w:val="18"/>
                <w:szCs w:val="18"/>
                <w:color w:val="auto"/>
                <w:w w:val="93"/>
              </w:rPr>
              <w:t>“Type 1” high assurance encryption products and capabilities for high assurance encryption.</w:t>
            </w:r>
          </w:p>
        </w:tc>
      </w:tr>
      <w:tr>
        <w:trPr>
          <w:trHeight w:val="418"/>
        </w:trPr>
        <w:tc>
          <w:tcPr>
            <w:tcW w:w="192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Arial" w:cs="Arial" w:eastAsia="Arial" w:hAnsi="Arial"/>
                <w:sz w:val="18"/>
                <w:szCs w:val="18"/>
                <w:color w:val="auto"/>
              </w:rPr>
              <w:t>Government Satellite</w:t>
            </w:r>
          </w:p>
        </w:tc>
        <w:tc>
          <w:tcPr>
            <w:tcW w:w="7060" w:type="dxa"/>
            <w:vAlign w:val="bottom"/>
          </w:tcPr>
          <w:p>
            <w:pPr>
              <w:ind w:left="220"/>
              <w:spacing w:after="0"/>
              <w:rPr>
                <w:sz w:val="20"/>
                <w:szCs w:val="20"/>
                <w:color w:val="auto"/>
              </w:rPr>
            </w:pPr>
            <w:r>
              <w:rPr>
                <w:rFonts w:ascii="Arial" w:cs="Arial" w:eastAsia="Arial" w:hAnsi="Arial"/>
                <w:sz w:val="18"/>
                <w:szCs w:val="18"/>
                <w:color w:val="auto"/>
                <w:w w:val="91"/>
              </w:rPr>
              <w:t>Satcom for communications on-the-move, on-the-pause, fixed, and transportable applications,</w:t>
            </w:r>
          </w:p>
        </w:tc>
      </w:tr>
      <w:tr>
        <w:trPr>
          <w:trHeight w:val="216"/>
        </w:trPr>
        <w:tc>
          <w:tcPr>
            <w:tcW w:w="1920" w:type="dxa"/>
            <w:vAlign w:val="bottom"/>
          </w:tcPr>
          <w:p>
            <w:pPr>
              <w:spacing w:after="0"/>
              <w:rPr>
                <w:sz w:val="18"/>
                <w:szCs w:val="18"/>
                <w:color w:val="auto"/>
              </w:rPr>
            </w:pPr>
          </w:p>
        </w:tc>
        <w:tc>
          <w:tcPr>
            <w:tcW w:w="2440" w:type="dxa"/>
            <w:vAlign w:val="bottom"/>
          </w:tcPr>
          <w:p>
            <w:pPr>
              <w:ind w:left="260"/>
              <w:spacing w:after="0"/>
              <w:rPr>
                <w:sz w:val="20"/>
                <w:szCs w:val="20"/>
                <w:color w:val="auto"/>
              </w:rPr>
            </w:pPr>
            <w:r>
              <w:rPr>
                <w:rFonts w:ascii="Arial" w:cs="Arial" w:eastAsia="Arial" w:hAnsi="Arial"/>
                <w:sz w:val="18"/>
                <w:szCs w:val="18"/>
                <w:color w:val="auto"/>
              </w:rPr>
              <w:t>Communication</w:t>
            </w:r>
          </w:p>
        </w:tc>
        <w:tc>
          <w:tcPr>
            <w:tcW w:w="7060" w:type="dxa"/>
            <w:vAlign w:val="bottom"/>
          </w:tcPr>
          <w:p>
            <w:pPr>
              <w:ind w:left="220"/>
              <w:spacing w:after="0"/>
              <w:rPr>
                <w:sz w:val="20"/>
                <w:szCs w:val="20"/>
                <w:color w:val="auto"/>
              </w:rPr>
            </w:pPr>
            <w:r>
              <w:rPr>
                <w:rFonts w:ascii="Arial" w:cs="Arial" w:eastAsia="Arial" w:hAnsi="Arial"/>
                <w:sz w:val="18"/>
                <w:szCs w:val="18"/>
                <w:color w:val="auto"/>
                <w:w w:val="97"/>
              </w:rPr>
              <w:t>including mobile satcom systems, high-speed modems, UHF satcom terminals, portable</w:t>
            </w:r>
          </w:p>
        </w:tc>
      </w:tr>
      <w:tr>
        <w:trPr>
          <w:trHeight w:val="230"/>
        </w:trPr>
        <w:tc>
          <w:tcPr>
            <w:tcW w:w="1920" w:type="dxa"/>
            <w:vAlign w:val="bottom"/>
          </w:tcPr>
          <w:p>
            <w:pPr>
              <w:spacing w:after="0"/>
              <w:rPr>
                <w:sz w:val="20"/>
                <w:szCs w:val="20"/>
                <w:color w:val="auto"/>
              </w:rPr>
            </w:pPr>
          </w:p>
        </w:tc>
        <w:tc>
          <w:tcPr>
            <w:tcW w:w="2440" w:type="dxa"/>
            <w:vAlign w:val="bottom"/>
          </w:tcPr>
          <w:p>
            <w:pPr>
              <w:ind w:left="260"/>
              <w:spacing w:after="0"/>
              <w:rPr>
                <w:sz w:val="20"/>
                <w:szCs w:val="20"/>
                <w:color w:val="auto"/>
              </w:rPr>
            </w:pPr>
            <w:r>
              <w:rPr>
                <w:rFonts w:ascii="Arial" w:cs="Arial" w:eastAsia="Arial" w:hAnsi="Arial"/>
                <w:sz w:val="18"/>
                <w:szCs w:val="18"/>
                <w:color w:val="auto"/>
              </w:rPr>
              <w:t>Systems</w:t>
            </w:r>
          </w:p>
        </w:tc>
        <w:tc>
          <w:tcPr>
            <w:tcW w:w="7060" w:type="dxa"/>
            <w:vAlign w:val="bottom"/>
          </w:tcPr>
          <w:p>
            <w:pPr>
              <w:ind w:left="220"/>
              <w:spacing w:after="0"/>
              <w:rPr>
                <w:sz w:val="20"/>
                <w:szCs w:val="20"/>
                <w:color w:val="auto"/>
              </w:rPr>
            </w:pPr>
            <w:r>
              <w:rPr>
                <w:rFonts w:ascii="Arial" w:cs="Arial" w:eastAsia="Arial" w:hAnsi="Arial"/>
                <w:sz w:val="18"/>
                <w:szCs w:val="18"/>
                <w:color w:val="auto"/>
              </w:rPr>
              <w:t>manpack terminals, and antenna systems.</w:t>
            </w: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Commercial Networks</w:t>
            </w:r>
          </w:p>
        </w:tc>
        <w:tc>
          <w:tcPr>
            <w:tcW w:w="2440" w:type="dxa"/>
            <w:vAlign w:val="bottom"/>
          </w:tcPr>
          <w:p>
            <w:pPr>
              <w:ind w:left="260"/>
              <w:spacing w:after="0"/>
              <w:rPr>
                <w:sz w:val="20"/>
                <w:szCs w:val="20"/>
                <w:color w:val="auto"/>
              </w:rPr>
            </w:pPr>
            <w:r>
              <w:rPr>
                <w:rFonts w:ascii="Arial" w:cs="Arial" w:eastAsia="Arial" w:hAnsi="Arial"/>
                <w:sz w:val="18"/>
                <w:szCs w:val="18"/>
                <w:color w:val="auto"/>
              </w:rPr>
              <w:t>Consumer Broadband</w:t>
            </w:r>
          </w:p>
        </w:tc>
        <w:tc>
          <w:tcPr>
            <w:tcW w:w="7060" w:type="dxa"/>
            <w:vAlign w:val="bottom"/>
          </w:tcPr>
          <w:p>
            <w:pPr>
              <w:ind w:left="220"/>
              <w:spacing w:after="0"/>
              <w:rPr>
                <w:sz w:val="20"/>
                <w:szCs w:val="20"/>
                <w:color w:val="auto"/>
              </w:rPr>
            </w:pPr>
            <w:r>
              <w:rPr>
                <w:rFonts w:ascii="Arial" w:cs="Arial" w:eastAsia="Arial" w:hAnsi="Arial"/>
                <w:sz w:val="18"/>
                <w:szCs w:val="18"/>
                <w:color w:val="auto"/>
              </w:rPr>
              <w:t>Cost effective satellite broadband system using our SurfBeam® system.</w:t>
            </w:r>
          </w:p>
        </w:tc>
      </w:tr>
      <w:tr>
        <w:trPr>
          <w:trHeight w:val="418"/>
        </w:trPr>
        <w:tc>
          <w:tcPr>
            <w:tcW w:w="192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Arial" w:cs="Arial" w:eastAsia="Arial" w:hAnsi="Arial"/>
                <w:sz w:val="18"/>
                <w:szCs w:val="18"/>
                <w:color w:val="auto"/>
              </w:rPr>
              <w:t>Mobile Broadband</w:t>
            </w:r>
          </w:p>
        </w:tc>
        <w:tc>
          <w:tcPr>
            <w:tcW w:w="7060" w:type="dxa"/>
            <w:vAlign w:val="bottom"/>
          </w:tcPr>
          <w:p>
            <w:pPr>
              <w:ind w:left="220"/>
              <w:spacing w:after="0"/>
              <w:rPr>
                <w:sz w:val="20"/>
                <w:szCs w:val="20"/>
                <w:color w:val="auto"/>
              </w:rPr>
            </w:pPr>
            <w:r>
              <w:rPr>
                <w:rFonts w:ascii="Arial" w:cs="Arial" w:eastAsia="Arial" w:hAnsi="Arial"/>
                <w:sz w:val="18"/>
                <w:szCs w:val="18"/>
                <w:color w:val="auto"/>
                <w:w w:val="94"/>
              </w:rPr>
              <w:t>Products centered around our ArcLight® system — the only FCC-licensed Ku-band mobile</w:t>
            </w:r>
          </w:p>
        </w:tc>
      </w:tr>
      <w:tr>
        <w:trPr>
          <w:trHeight w:val="216"/>
        </w:trPr>
        <w:tc>
          <w:tcPr>
            <w:tcW w:w="1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90"/>
              </w:rPr>
              <w:t>satellite system. Our spread spectrum waveform provides higher speeds (similar to high-speed</w:t>
            </w:r>
          </w:p>
        </w:tc>
      </w:tr>
      <w:tr>
        <w:trPr>
          <w:trHeight w:val="216"/>
        </w:trPr>
        <w:tc>
          <w:tcPr>
            <w:tcW w:w="1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92"/>
              </w:rPr>
              <w:t>cable and DSL) at a lower cost than competing services while on-the-move in aircraft, trains,</w:t>
            </w:r>
          </w:p>
        </w:tc>
      </w:tr>
      <w:tr>
        <w:trPr>
          <w:trHeight w:val="230"/>
        </w:trPr>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or seagoing vessels using small, lightweight antennas and terminals.</w:t>
            </w:r>
          </w:p>
        </w:tc>
      </w:tr>
      <w:tr>
        <w:trPr>
          <w:trHeight w:val="418"/>
        </w:trPr>
        <w:tc>
          <w:tcPr>
            <w:tcW w:w="192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Arial" w:cs="Arial" w:eastAsia="Arial" w:hAnsi="Arial"/>
                <w:sz w:val="18"/>
                <w:szCs w:val="18"/>
                <w:color w:val="auto"/>
              </w:rPr>
              <w:t>Enterprise VSAT Networks</w:t>
            </w:r>
          </w:p>
        </w:tc>
        <w:tc>
          <w:tcPr>
            <w:tcW w:w="7060" w:type="dxa"/>
            <w:vAlign w:val="bottom"/>
          </w:tcPr>
          <w:p>
            <w:pPr>
              <w:ind w:left="220"/>
              <w:spacing w:after="0"/>
              <w:rPr>
                <w:sz w:val="20"/>
                <w:szCs w:val="20"/>
                <w:color w:val="auto"/>
              </w:rPr>
            </w:pPr>
            <w:r>
              <w:rPr>
                <w:rFonts w:ascii="Arial" w:cs="Arial" w:eastAsia="Arial" w:hAnsi="Arial"/>
                <w:sz w:val="18"/>
                <w:szCs w:val="18"/>
                <w:color w:val="auto"/>
                <w:w w:val="95"/>
              </w:rPr>
              <w:t>Satellite communication VSAT systems connect a business with web-centric applications,</w:t>
            </w:r>
          </w:p>
        </w:tc>
      </w:tr>
      <w:tr>
        <w:trPr>
          <w:trHeight w:val="216"/>
        </w:trPr>
        <w:tc>
          <w:tcPr>
            <w:tcW w:w="1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95"/>
              </w:rPr>
              <w:t>including IP data, internet access, virtual private networks, retail point of sale, video, voice</w:t>
            </w:r>
          </w:p>
        </w:tc>
      </w:tr>
      <w:tr>
        <w:trPr>
          <w:trHeight w:val="230"/>
        </w:trPr>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over IP and distance learning applications.</w:t>
            </w:r>
          </w:p>
        </w:tc>
      </w:tr>
      <w:tr>
        <w:trPr>
          <w:trHeight w:val="418"/>
        </w:trPr>
        <w:tc>
          <w:tcPr>
            <w:tcW w:w="192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Arial" w:cs="Arial" w:eastAsia="Arial" w:hAnsi="Arial"/>
                <w:sz w:val="18"/>
                <w:szCs w:val="18"/>
                <w:color w:val="auto"/>
              </w:rPr>
              <w:t>Antenna Systems</w:t>
            </w:r>
          </w:p>
        </w:tc>
        <w:tc>
          <w:tcPr>
            <w:tcW w:w="7060" w:type="dxa"/>
            <w:vAlign w:val="bottom"/>
          </w:tcPr>
          <w:p>
            <w:pPr>
              <w:ind w:left="220"/>
              <w:spacing w:after="0"/>
              <w:rPr>
                <w:sz w:val="20"/>
                <w:szCs w:val="20"/>
                <w:color w:val="auto"/>
              </w:rPr>
            </w:pPr>
            <w:r>
              <w:rPr>
                <w:rFonts w:ascii="Arial" w:cs="Arial" w:eastAsia="Arial" w:hAnsi="Arial"/>
                <w:sz w:val="18"/>
                <w:szCs w:val="18"/>
                <w:color w:val="auto"/>
              </w:rPr>
              <w:t>Antenna and ground station design, fabrication, test, and installation, plus antenna</w:t>
            </w:r>
          </w:p>
        </w:tc>
      </w:tr>
      <w:tr>
        <w:trPr>
          <w:trHeight w:val="230"/>
        </w:trPr>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maintenance services.</w:t>
            </w:r>
          </w:p>
        </w:tc>
      </w:tr>
      <w:tr>
        <w:trPr>
          <w:trHeight w:val="418"/>
        </w:trPr>
        <w:tc>
          <w:tcPr>
            <w:tcW w:w="192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Arial" w:cs="Arial" w:eastAsia="Arial" w:hAnsi="Arial"/>
                <w:sz w:val="18"/>
                <w:szCs w:val="18"/>
                <w:color w:val="auto"/>
              </w:rPr>
              <w:t>Technology</w:t>
            </w:r>
          </w:p>
        </w:tc>
        <w:tc>
          <w:tcPr>
            <w:tcW w:w="7060" w:type="dxa"/>
            <w:vAlign w:val="bottom"/>
          </w:tcPr>
          <w:p>
            <w:pPr>
              <w:ind w:left="220"/>
              <w:spacing w:after="0"/>
              <w:rPr>
                <w:sz w:val="20"/>
                <w:szCs w:val="20"/>
                <w:color w:val="auto"/>
              </w:rPr>
            </w:pPr>
            <w:r>
              <w:rPr>
                <w:rFonts w:ascii="Arial" w:cs="Arial" w:eastAsia="Arial" w:hAnsi="Arial"/>
                <w:sz w:val="18"/>
                <w:szCs w:val="18"/>
                <w:color w:val="auto"/>
                <w:w w:val="98"/>
              </w:rPr>
              <w:t>All aspects of satellite communication system architecture and technology including the</w:t>
            </w:r>
          </w:p>
        </w:tc>
      </w:tr>
      <w:tr>
        <w:trPr>
          <w:trHeight w:val="216"/>
        </w:trPr>
        <w:tc>
          <w:tcPr>
            <w:tcW w:w="1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93"/>
              </w:rPr>
              <w:t>analysis, design, and specification of satellites and ground systems; ASIC and MMIC design</w:t>
            </w:r>
          </w:p>
        </w:tc>
      </w:tr>
      <w:tr>
        <w:trPr>
          <w:trHeight w:val="230"/>
        </w:trPr>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and production; wide area network compression for enterprise networks.</w:t>
            </w:r>
          </w:p>
        </w:tc>
      </w:tr>
      <w:tr>
        <w:trPr>
          <w:trHeight w:val="418"/>
        </w:trPr>
        <w:tc>
          <w:tcPr>
            <w:tcW w:w="1920" w:type="dxa"/>
            <w:vAlign w:val="bottom"/>
          </w:tcPr>
          <w:p>
            <w:pPr>
              <w:spacing w:after="0"/>
              <w:rPr>
                <w:sz w:val="20"/>
                <w:szCs w:val="20"/>
                <w:color w:val="auto"/>
              </w:rPr>
            </w:pPr>
            <w:r>
              <w:rPr>
                <w:rFonts w:ascii="Arial" w:cs="Arial" w:eastAsia="Arial" w:hAnsi="Arial"/>
                <w:sz w:val="18"/>
                <w:szCs w:val="18"/>
                <w:color w:val="auto"/>
              </w:rPr>
              <w:t>Satellite Services</w:t>
            </w:r>
          </w:p>
        </w:tc>
        <w:tc>
          <w:tcPr>
            <w:tcW w:w="2440" w:type="dxa"/>
            <w:vAlign w:val="bottom"/>
          </w:tcPr>
          <w:p>
            <w:pPr>
              <w:ind w:left="260"/>
              <w:spacing w:after="0"/>
              <w:rPr>
                <w:sz w:val="20"/>
                <w:szCs w:val="20"/>
                <w:color w:val="auto"/>
              </w:rPr>
            </w:pPr>
            <w:r>
              <w:rPr>
                <w:rFonts w:ascii="Arial" w:cs="Arial" w:eastAsia="Arial" w:hAnsi="Arial"/>
                <w:sz w:val="18"/>
                <w:szCs w:val="18"/>
                <w:color w:val="auto"/>
              </w:rPr>
              <w:t>Wholesale Broadband</w:t>
            </w:r>
          </w:p>
        </w:tc>
        <w:tc>
          <w:tcPr>
            <w:tcW w:w="7060" w:type="dxa"/>
            <w:vAlign w:val="bottom"/>
          </w:tcPr>
          <w:p>
            <w:pPr>
              <w:ind w:left="220"/>
              <w:spacing w:after="0"/>
              <w:rPr>
                <w:sz w:val="20"/>
                <w:szCs w:val="20"/>
                <w:color w:val="auto"/>
              </w:rPr>
            </w:pPr>
            <w:r>
              <w:rPr>
                <w:rFonts w:ascii="Arial" w:cs="Arial" w:eastAsia="Arial" w:hAnsi="Arial"/>
                <w:sz w:val="18"/>
                <w:szCs w:val="18"/>
                <w:color w:val="auto"/>
                <w:w w:val="88"/>
              </w:rPr>
              <w:t>Wholesale broadband service over a Ka-band spot beam satellite, at speeds and choices similar</w:t>
            </w:r>
          </w:p>
        </w:tc>
      </w:tr>
      <w:tr>
        <w:trPr>
          <w:trHeight w:val="216"/>
        </w:trPr>
        <w:tc>
          <w:tcPr>
            <w:tcW w:w="1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91"/>
              </w:rPr>
              <w:t>to or in access of cable and DSL by putting more, cheaper bits in space — service available in</w:t>
            </w:r>
          </w:p>
        </w:tc>
      </w:tr>
      <w:tr>
        <w:trPr>
          <w:trHeight w:val="230"/>
        </w:trPr>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2011.</w:t>
            </w:r>
          </w:p>
        </w:tc>
      </w:tr>
      <w:tr>
        <w:trPr>
          <w:trHeight w:val="418"/>
        </w:trPr>
        <w:tc>
          <w:tcPr>
            <w:tcW w:w="192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Arial" w:cs="Arial" w:eastAsia="Arial" w:hAnsi="Arial"/>
                <w:sz w:val="18"/>
                <w:szCs w:val="18"/>
                <w:color w:val="auto"/>
              </w:rPr>
              <w:t>Managed Broadband</w:t>
            </w:r>
          </w:p>
        </w:tc>
        <w:tc>
          <w:tcPr>
            <w:tcW w:w="7060" w:type="dxa"/>
            <w:vAlign w:val="bottom"/>
          </w:tcPr>
          <w:p>
            <w:pPr>
              <w:ind w:left="220"/>
              <w:spacing w:after="0"/>
              <w:rPr>
                <w:sz w:val="20"/>
                <w:szCs w:val="20"/>
                <w:color w:val="auto"/>
              </w:rPr>
            </w:pPr>
            <w:r>
              <w:rPr>
                <w:rFonts w:ascii="Arial" w:cs="Arial" w:eastAsia="Arial" w:hAnsi="Arial"/>
                <w:sz w:val="18"/>
                <w:szCs w:val="18"/>
                <w:color w:val="auto"/>
                <w:w w:val="93"/>
              </w:rPr>
              <w:t>Full-service broadband wireless networking to customer’s locations with transparent support</w:t>
            </w:r>
          </w:p>
        </w:tc>
      </w:tr>
      <w:tr>
        <w:trPr>
          <w:trHeight w:val="216"/>
        </w:trPr>
        <w:tc>
          <w:tcPr>
            <w:tcW w:w="1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95"/>
              </w:rPr>
              <w:t>for today’s new communication applications, integration services, including supplementing</w:t>
            </w:r>
          </w:p>
        </w:tc>
      </w:tr>
      <w:tr>
        <w:trPr>
          <w:trHeight w:val="230"/>
        </w:trPr>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with DSL, where needed.</w:t>
            </w:r>
          </w:p>
        </w:tc>
      </w:tr>
      <w:tr>
        <w:trPr>
          <w:trHeight w:val="418"/>
        </w:trPr>
        <w:tc>
          <w:tcPr>
            <w:tcW w:w="192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Arial" w:cs="Arial" w:eastAsia="Arial" w:hAnsi="Arial"/>
                <w:sz w:val="18"/>
                <w:szCs w:val="18"/>
                <w:color w:val="auto"/>
              </w:rPr>
              <w:t>Mobile Satellite</w:t>
            </w:r>
          </w:p>
        </w:tc>
        <w:tc>
          <w:tcPr>
            <w:tcW w:w="7060" w:type="dxa"/>
            <w:vAlign w:val="bottom"/>
          </w:tcPr>
          <w:p>
            <w:pPr>
              <w:ind w:left="220"/>
              <w:spacing w:after="0"/>
              <w:rPr>
                <w:sz w:val="20"/>
                <w:szCs w:val="20"/>
                <w:color w:val="auto"/>
              </w:rPr>
            </w:pPr>
            <w:r>
              <w:rPr>
                <w:rFonts w:ascii="Arial" w:cs="Arial" w:eastAsia="Arial" w:hAnsi="Arial"/>
                <w:sz w:val="18"/>
                <w:szCs w:val="18"/>
                <w:color w:val="auto"/>
                <w:w w:val="95"/>
              </w:rPr>
              <w:t>Communications on-the-move services to airborne and maritime customers covering all of</w:t>
            </w:r>
          </w:p>
        </w:tc>
      </w:tr>
      <w:tr>
        <w:trPr>
          <w:trHeight w:val="230"/>
        </w:trPr>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North America, the North Atlantic, and Europe.</w:t>
            </w:r>
          </w:p>
        </w:tc>
      </w:tr>
      <w:tr>
        <w:trPr>
          <w:trHeight w:val="405"/>
        </w:trPr>
        <w:tc>
          <w:tcPr>
            <w:tcW w:w="19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060" w:type="dxa"/>
            <w:vAlign w:val="bottom"/>
          </w:tcPr>
          <w:p>
            <w:pPr>
              <w:ind w:left="1300"/>
              <w:spacing w:after="0"/>
              <w:rPr>
                <w:sz w:val="20"/>
                <w:szCs w:val="20"/>
                <w:color w:val="auto"/>
              </w:rPr>
            </w:pPr>
            <w:r>
              <w:rPr>
                <w:rFonts w:ascii="Arial" w:cs="Arial" w:eastAsia="Arial" w:hAnsi="Arial"/>
                <w:sz w:val="18"/>
                <w:szCs w:val="18"/>
                <w:color w:val="auto"/>
              </w:rPr>
              <w:t>7</w:t>
            </w:r>
          </w:p>
        </w:tc>
      </w:tr>
      <w:tr>
        <w:trPr>
          <w:trHeight w:val="226"/>
        </w:trPr>
        <w:tc>
          <w:tcPr>
            <w:tcW w:w="19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7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Service and Support</w:t>
      </w:r>
    </w:p>
    <w:p>
      <w:pPr>
        <w:spacing w:after="0" w:line="121"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In addition to our product offerings, we provide a broad range of repair, upgrade and technical support service offerings for our products and systems. Through our sales teams and support services, we are constantly aprised of customers’ needs and their use of products and services. Accordingly, a superior level of continuing customer service and support is integral to our objective of developing and maintaining long-term relationships with our customers. The majority of our service and support activities are provided by our field engineering team, systems engineers, and sales and administrative support personnel, both on-site at the customer’s location and by telephone.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20" w:firstLine="215"/>
        <w:spacing w:after="0" w:line="270" w:lineRule="auto"/>
        <w:rPr>
          <w:sz w:val="20"/>
          <w:szCs w:val="20"/>
          <w:color w:val="auto"/>
        </w:rPr>
      </w:pPr>
      <w:r>
        <w:rPr>
          <w:rFonts w:ascii="Arial" w:cs="Arial" w:eastAsia="Arial" w:hAnsi="Arial"/>
          <w:sz w:val="17"/>
          <w:szCs w:val="17"/>
          <w:color w:val="auto"/>
        </w:rPr>
        <w:t>Although we initially focused primarily on developing satellite communication and simulation equipment for the U.S. government, we successfully diversified into other related satellite, wireless and networking communications markets serving both government and commercial customers. Our customers include the DoD, civil agencies, defense contractors, allied foreign governments, satellite network integrators, large communications service providers, and corporations requiring complex communications and networking solutions. Government contracts are either direct with U.S. or foreign governments, or indirect through domestic or international prime contractors. For our commercial contracts, we also act as both a prime contractor and subcontractor for the sale of equipment and services. Our significant customers include the DoD, Northrop Grumman, Harris, Raytheon, WildBlue, Boeing, Teleset and ITT. Revenues from the U.S. government comprised approximately 30%, 31% and 34% of total revenues for fiscal years 2008, 2007 and 2006, respectively. In addition, one commercial customer comprised approximately 9%, 16% and 10% of total revenues for fiscal years 2008, 2007 and 2006, respectively. Over the past few years, we have significantly expanded our customer base both domestically and internationally.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121" w:lineRule="exact"/>
        <w:rPr>
          <w:sz w:val="20"/>
          <w:szCs w:val="20"/>
          <w:color w:val="auto"/>
        </w:rPr>
      </w:pPr>
    </w:p>
    <w:p>
      <w:pPr>
        <w:ind w:right="340" w:firstLine="225"/>
        <w:spacing w:after="0" w:line="255" w:lineRule="auto"/>
        <w:rPr>
          <w:sz w:val="20"/>
          <w:szCs w:val="20"/>
          <w:color w:val="auto"/>
        </w:rPr>
      </w:pPr>
      <w:r>
        <w:rPr>
          <w:rFonts w:ascii="Arial" w:cs="Arial" w:eastAsia="Arial" w:hAnsi="Arial"/>
          <w:sz w:val="18"/>
          <w:szCs w:val="18"/>
          <w:color w:val="auto"/>
        </w:rPr>
        <w:t>Substantial portions of our revenues are generated from contracts and subcontracts with the DoD and other federal government agencies. Many of our contracts are competitively bid and awarded on the basis of technical merit, personnel qualifications, experience and price. We also receive some contract awards involving special technical capabilities on a negotiated, noncompetitive basis due to our unique technical capabilities in special areas. The Federal Acquisition Streamlining Act of 1994 has encouraged the use of commercial type pricing on dual use products. Our future revenues and income could be materially affected by changes in procurement policies, a reduction in expenditures for the products and services we provide, and other risks generally associated with federal government contracts.</w:t>
      </w:r>
    </w:p>
    <w:p>
      <w:pPr>
        <w:spacing w:after="0" w:line="85"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five years. Long-term contracts may be conditioned upon continued availability of congressional appropriations. Variances between anticipated budget and congressional appropriations may result in a delay, reduction or termination of these contracts. Contractors often experience revenue uncertainties with respect to available contract funding during the first quarter of the U.S. government’s fiscal year beginning October 1, until differences between budget requests and appropriations are resolved.</w:t>
      </w:r>
    </w:p>
    <w:p>
      <w:pPr>
        <w:spacing w:after="0" w:line="80"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Our federal government contracts are performed under cost-reimbursement contracts, time-and-materials contracts and fixed-price contracts. Cost-reimbursement contracts provide for reimbursement of costs and for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for a fixed price and, accordingly, realize the benefit or detriment to the extent that the actual cost of performing the work differs from the contract price. Revenues generated from contracts with the federal government or our prime contractors for fiscal year 2008 were approximately 25% from cost-reimbursement contracts, approximately 1% from time-and-materials contracts and approximately 74% from fixed-price contracts of total government revenues.</w:t>
      </w:r>
    </w:p>
    <w:p>
      <w:pPr>
        <w:spacing w:after="0" w:line="8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Our allowable federal government contract costs and fees are subject to audit by the Defense Contract Audit Agency. Audits may result in non-reimbursement of some contract costs and fees. While the government reserves the right to conduct further audits, audits conducted for periods through fiscal year 2002 have resulted in no material cost recovery disallowances for 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5"/>
        <w:spacing w:after="0" w:line="257" w:lineRule="auto"/>
        <w:rPr>
          <w:sz w:val="20"/>
          <w:szCs w:val="20"/>
          <w:color w:val="auto"/>
        </w:rPr>
      </w:pPr>
      <w:r>
        <w:rPr>
          <w:rFonts w:ascii="Arial" w:cs="Arial" w:eastAsia="Arial" w:hAnsi="Arial"/>
          <w:sz w:val="18"/>
          <w:szCs w:val="18"/>
          <w:color w:val="auto"/>
        </w:rPr>
        <w:t>Our federal government contracts may be terminated, in whole or in part, at the convenience of the U.S. government. If a termination for convenience occurs, the U.S. government generally is obligated to pay the cost incurred by us under the contract plus a pro rata fee based upon the work completed.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80"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 In our experience, options are exercised more often than not.</w:t>
      </w:r>
    </w:p>
    <w:p>
      <w:pPr>
        <w:spacing w:after="0" w:line="5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networking and signal processing environment. Our continuing ability to adapt to these changes, and to develop new and enhanced products, is a significant factor in maintaining or improving our competitive position and our prospects for growth. Therefore, we continue to make significant investments in product development.</w:t>
      </w:r>
    </w:p>
    <w:p>
      <w:pPr>
        <w:spacing w:after="0" w:line="79" w:lineRule="exact"/>
        <w:rPr>
          <w:sz w:val="20"/>
          <w:szCs w:val="20"/>
          <w:color w:val="auto"/>
        </w:rPr>
      </w:pPr>
    </w:p>
    <w:p>
      <w:pPr>
        <w:ind w:right="220" w:firstLine="222"/>
        <w:spacing w:after="0" w:line="257" w:lineRule="auto"/>
        <w:rPr>
          <w:sz w:val="20"/>
          <w:szCs w:val="20"/>
          <w:color w:val="auto"/>
        </w:rPr>
      </w:pPr>
      <w:r>
        <w:rPr>
          <w:rFonts w:ascii="Arial" w:cs="Arial" w:eastAsia="Arial" w:hAnsi="Arial"/>
          <w:sz w:val="18"/>
          <w:szCs w:val="18"/>
          <w:color w:val="auto"/>
        </w:rPr>
        <w:t>We conduct the majority of our research and product development activities in-house and have a research and development and engineering staff, which includes over 1,050 engineers. Our product development activities focus on products to support all of our segments: government systems, commercial networks and satellite services, that we consider viable revenue opportunities. A significant portion of our research and development efforts have generally been conducted in direct response to the specific requirements of a customer’s order and, accordingly, these amounts are included in the cost of sales when incurred and the related funding is included in revenues at that time.</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portion of our contract revenues which includes research and development funded by government and commercial customers was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$112.2 million, $122.9 million and $109.5 million during fiscal years 2008, 2007 and 2006, respectively. In addition, we incurred $32.3 million in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$21.6 million in fiscal year 2007, and $15.8 million in fiscal year 2006 on independent research and development, which is not directly funded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party. Funded research and development contains a profit component and is therefore not directly comparable to independent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government contractor, we also are able to recover a portion of our independent research and development expenses, consisting primarily of salaries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personnel-related expenses, supplies and prototype materials related to research and development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40" w:firstLine="222"/>
        <w:spacing w:after="0" w:line="289" w:lineRule="auto"/>
        <w:rPr>
          <w:sz w:val="20"/>
          <w:szCs w:val="20"/>
          <w:color w:val="auto"/>
        </w:rPr>
      </w:pPr>
      <w:r>
        <w:rPr>
          <w:rFonts w:ascii="Arial" w:cs="Arial" w:eastAsia="Arial" w:hAnsi="Arial"/>
          <w:sz w:val="16"/>
          <w:szCs w:val="16"/>
          <w:color w:val="auto"/>
        </w:rPr>
        <w:t>We seek to establish and maintain our proprietary rights in our technology and products through a combination of patents, copyrights, trademarks, trade secret laws and contractual rights. We also seek to maintain our trade secrets and confidential information by nondisclosure policies, through the use of appropriate confidentiality agreements, and through other security measures. We have obtained a number of patents and trademarks in the United States and in other countries. There can be no assurance, however, that these rights can be successfully enforced against competitive products in every jurisdiction. Although we believe the protection afforded by our patents, copyrights, trademarks and trade secrets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 afforded by patent, copyright, trademark, and trade secret laws. Patent, copyright, trademark and trade secret protections are important but must be supported by other factors such as the expanding knowledge, ability and experience of our personnel, new product introductions and frequent product enhancements.</w:t>
      </w:r>
    </w:p>
    <w:p>
      <w:pPr>
        <w:spacing w:after="0" w:line="59"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such licenses generally could be obtained on commercially reasonable terms. Nonetheless, there can be no assurance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46"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following marks, among others, are trademarks or service marks of ViaSat or one of our subsidiaries: AcceleNet, AltaSec, ArcLight, LinkStar, LinkStar</w:t>
      </w:r>
      <w:r>
        <w:rPr>
          <w:rFonts w:ascii="Arial" w:cs="Arial" w:eastAsia="Arial" w:hAnsi="Arial"/>
          <w:sz w:val="15"/>
          <w:szCs w:val="15"/>
          <w:color w:val="auto"/>
        </w:rPr>
        <w:t>S2</w:t>
      </w:r>
      <w:r>
        <w:rPr>
          <w:rFonts w:ascii="Arial" w:cs="Arial" w:eastAsia="Arial" w:hAnsi="Arial"/>
          <w:sz w:val="18"/>
          <w:szCs w:val="18"/>
          <w:color w:val="auto"/>
        </w:rPr>
        <w:t>, LINKWAY, LinkWay</w:t>
      </w:r>
      <w:r>
        <w:rPr>
          <w:rFonts w:ascii="Arial" w:cs="Arial" w:eastAsia="Arial" w:hAnsi="Arial"/>
          <w:sz w:val="15"/>
          <w:szCs w:val="15"/>
          <w:color w:val="auto"/>
        </w:rPr>
        <w:t>S2</w:t>
      </w:r>
      <w:r>
        <w:rPr>
          <w:rFonts w:ascii="Arial" w:cs="Arial" w:eastAsia="Arial" w:hAnsi="Arial"/>
          <w:sz w:val="18"/>
          <w:szCs w:val="18"/>
          <w:color w:val="auto"/>
        </w:rPr>
        <w:t>, PSIAM, Skylinx, StarWire, SURFBEAM, ViaSat and V Chain. COMSAT Laboratories is a licensed trade name of ours. The following third party trademarks or service marks referenced in the text of this report are owned by the entities indicated: DOCSIS (Cable Television Laboratories), HAIPE (National Security Agency).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We have a sales presence in various domestic and foreign locations, and we sell our products and services both directly and indirectly through channel partners.</w:t>
      </w:r>
    </w:p>
    <w:p>
      <w:pPr>
        <w:spacing w:after="0" w:line="62" w:lineRule="exact"/>
        <w:rPr>
          <w:sz w:val="20"/>
          <w:szCs w:val="20"/>
          <w:color w:val="auto"/>
        </w:rPr>
      </w:pPr>
    </w:p>
    <w:p>
      <w:pPr>
        <w:ind w:left="660" w:right="40" w:hanging="436"/>
        <w:spacing w:after="0" w:line="255"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Government Sales Organization. </w:t>
      </w:r>
      <w:r>
        <w:rPr>
          <w:rFonts w:ascii="Arial" w:cs="Arial" w:eastAsia="Arial" w:hAnsi="Arial"/>
          <w:sz w:val="18"/>
          <w:szCs w:val="18"/>
          <w:color w:val="auto"/>
        </w:rPr>
        <w:t>Our government sales organization consist of direct sales personnel who sell our standard products,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who work with engineers, program managers, marketing managers and contract managers to identify business opportunities, develop customer relationships, develop solutions for the customer’s needs, prepare proposals and negotiate contractual arrangements. The period of time from initial contact through the point of product sale and delivery can take over three years for more complex product developments or for product development including prototypes and demonstrations. Products already in production can usually be delivered to a customer between 90 to 180 days.</w:t>
      </w:r>
    </w:p>
    <w:p>
      <w:pPr>
        <w:spacing w:after="0" w:line="98" w:lineRule="exact"/>
        <w:rPr>
          <w:rFonts w:ascii="Arial" w:cs="Arial" w:eastAsia="Arial" w:hAnsi="Arial"/>
          <w:sz w:val="18"/>
          <w:szCs w:val="18"/>
          <w:b w:val="1"/>
          <w:bCs w:val="1"/>
          <w:color w:val="auto"/>
        </w:rPr>
      </w:pPr>
    </w:p>
    <w:p>
      <w:pPr>
        <w:ind w:left="660" w:right="60" w:hanging="436"/>
        <w:spacing w:after="0" w:line="255"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Commercial Networks Sales Organization. </w:t>
      </w:r>
      <w:r>
        <w:rPr>
          <w:rFonts w:ascii="Arial" w:cs="Arial" w:eastAsia="Arial" w:hAnsi="Arial"/>
          <w:sz w:val="18"/>
          <w:szCs w:val="18"/>
          <w:color w:val="auto"/>
        </w:rPr>
        <w:t>Our commercial networks sales organization consists of regional sales directors, regional sales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sales engineers, who act as the primary interface to establish account relationships and determine technical requirements for customer networks. In addition to our sales force, we maintain a highly trained service staff to provide technical product and service support to our customers. The sales cycle in the commercial network market is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98" w:lineRule="exact"/>
        <w:rPr>
          <w:rFonts w:ascii="Arial" w:cs="Arial" w:eastAsia="Arial" w:hAnsi="Arial"/>
          <w:sz w:val="18"/>
          <w:szCs w:val="18"/>
          <w:b w:val="1"/>
          <w:bCs w:val="1"/>
          <w:color w:val="auto"/>
        </w:rPr>
      </w:pPr>
    </w:p>
    <w:p>
      <w:pPr>
        <w:ind w:left="660" w:right="100" w:hanging="436"/>
        <w:spacing w:after="0" w:line="297"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Strategic Partners. </w:t>
      </w:r>
      <w:r>
        <w:rPr>
          <w:rFonts w:ascii="Arial" w:cs="Arial" w:eastAsia="Arial" w:hAnsi="Arial"/>
          <w:sz w:val="16"/>
          <w:szCs w:val="16"/>
          <w:color w:val="auto"/>
        </w:rPr>
        <w:t>To augment our direct sales efforts, we seek to develop key strategic relationships to market and sell our network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50"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Our marketing team works closely with our sales, research and product development organizations and our customers to increase the awareness of the ViaSat brand through a mix of positive program performance and our customers’ recommendation as well as public relations, advertising, trade show participation and conference speaking engagements by providing communications that keep the market current on our products and features. Our marketing also identifies and sizes new target markets for our products, creates awareness of our company and products and generates contacts and leads within these targeted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80" w:firstLine="215"/>
        <w:spacing w:after="0" w:line="342" w:lineRule="auto"/>
        <w:rPr>
          <w:sz w:val="20"/>
          <w:szCs w:val="20"/>
          <w:color w:val="auto"/>
        </w:rPr>
      </w:pPr>
      <w:r>
        <w:rPr>
          <w:rFonts w:ascii="Arial" w:cs="Arial" w:eastAsia="Arial" w:hAnsi="Arial"/>
          <w:sz w:val="16"/>
          <w:szCs w:val="16"/>
          <w:color w:val="auto"/>
        </w:rPr>
        <w:t>As reflected in the table below, funded and firm (funded plus unfunded) backlog decreased during fiscal year 2008, primarily due to some expected large contract awards that shifted from fiscal year 2008 to fiscal year 2009. New contract awards in fiscal year 2008 were a record for the company.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March 28, 2008</w:t>
            </w:r>
          </w:p>
        </w:tc>
        <w:tc>
          <w:tcPr>
            <w:tcW w:w="62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206.8</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154.5</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374.4</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186.1</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154.5</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firm backlog does not include contract options. Of the $374.4 million in firm backlog, approximately $264.6 million is expected to be delivered in fiscal year 2009, and the balance is expected to be delivered in fiscal year 2010 and thereafter. We include in our backlog only those orders for which we have accepted purchase orders. Over the last year, as we have completed many larger scale development programs and the resulting products have been placed into market, we have seen a greater percentage of awards from book and ship-type orders, resulting in a backlog growth rate that is relatively lower than the previous three fiscal years.</w:t>
      </w:r>
    </w:p>
    <w:p>
      <w:pPr>
        <w:spacing w:after="0" w:line="80"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since orders are often made substantially in advance of delivery, and our contracts typically provide that orders may be terminated with limited or no penalties. In addition, contracts may present product specifications that would require us to complete additional product development. A failure to develop products meeting such specifications could lead to a termination of the related contracts.</w:t>
      </w:r>
    </w:p>
    <w:p>
      <w:pPr>
        <w:spacing w:after="0" w:line="7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backlog amounts presented are comprised of funded and unfunded components. Funded backlog represents the sum of contract amounts for which funds have been specifically obligated by customers to contracts.</w:t>
      </w:r>
    </w:p>
    <w:p>
      <w:pPr>
        <w:spacing w:after="0" w:line="6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funding of our contracts is not within our control, our experience indicates that actual contract fundings have ultimately been approximately equal to the aggregate amounts of the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satellite and wireless communications and secure networking markets in which we compete are characterized by rapid change, converging technologies and a migration to solutions that offer superior advantages. These market factors represent both an opportunity and a competitive threat to us.</w:t>
      </w:r>
    </w:p>
    <w:p>
      <w:pPr>
        <w:spacing w:after="0" w:line="16"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Within our government systems segment, we generally compete with defense electronics product, subsystem or system manufacturers such as Rockwell Collins, L-3 Communications, Harris, General Dynamics, BAE Systems or similar companies. We may also occasionally compete directly with the largest defense prime contractors, including Boeing, Lockheed Martin, Northrop Grumman or Raytheon Systems. The aforementioned companies, while competitors, are also customers or partners with us on teams. Accordingly, maintaining an open and cooperative relationship is important. Almost of all of the companies we compete with in the government systems segment are substantially larger than us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Furthermore, competitors who have more financial resources may be better able to provide a broader range of financing alternatives to their customers in connection with sales of their products.</w:t>
      </w:r>
    </w:p>
    <w:p>
      <w:pPr>
        <w:spacing w:after="0" w:line="58"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our commercial networks and satellite services segments, we compete with Hughes Communications, Gilat, and iDirect Technologies, each of which offers a broad range of satellite communications products and services. Our principal competitors in the supply of antenna systems are Andrew Corporation, General Dynamics (VertexRSI) and L-3 Titan. Our satellite services segment also competes with terrestrial communications providers, mostly telephone companies.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222"/>
        <w:spacing w:after="0" w:line="259" w:lineRule="auto"/>
        <w:rPr>
          <w:sz w:val="20"/>
          <w:szCs w:val="20"/>
          <w:color w:val="auto"/>
        </w:rPr>
      </w:pPr>
      <w:r>
        <w:rPr>
          <w:rFonts w:ascii="Arial" w:cs="Arial" w:eastAsia="Arial" w:hAnsi="Arial"/>
          <w:sz w:val="18"/>
          <w:szCs w:val="18"/>
          <w:color w:val="auto"/>
        </w:rPr>
        <w:t>The overall number of our competitors may increase, and the identity and composition of competitors may change. As we continue to expand our sales globally, we may see new competition in different geographic regions. Many of our competitors have significant competitive advantages, including strong customer relationships, more experience with regulatory compliance, greater financial and management resources and control over central communications networks.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compete with these providers, we emphasize:</w:t>
      </w:r>
    </w:p>
    <w:p>
      <w:pPr>
        <w:spacing w:after="0" w:line="11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innovative and flexible features integrated into our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increased bandwidth efficiency offered by our networks and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network management experience;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cost-effectiveness of our products 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end-to-end network implementation capabilities;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distinct advantages of satellite data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technical advantages and advanced features of our antenna systems as compared to our competitors’ offerings;</w:t>
      </w:r>
    </w:p>
    <w:p>
      <w:pPr>
        <w:spacing w:after="0" w:line="130"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overall cost of our antenna systems and satellite networks, which can include equipment, installation and bandwidth costs, as compared to products offered by ground-based and other satellite service providers;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proven designs and network integration services for complex, customized network needs.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While we believe we compete successfully in each of these factors, we expect to face intense competition in each of our markets.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Our manufacturing objective is to produce high-quality products that conform to specifications at the lowest possible manufacturing cost. We primarily utilize a range of contract manufacturers, based on the volume of the production, to reduce the costs of products and to support rapid increases in delivery rates when needed. As part of our manufacturing process, we conduct extensive testing and quality control procedures for all products before they are delivered to customers.</w:t>
      </w:r>
    </w:p>
    <w:p>
      <w:pPr>
        <w:spacing w:after="0" w:line="79"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Contract manufacturers produce products for many different customers and are able to pass on the benefits of large scale manufacturing to their customers. These manufacturers are able to achieve high quality products with lower levels of costs by (1) exercising their high-volume purchasing power, (2) employing advanced and efficient production equipment and systems on a full-time basis, and (3) using a highly skilled workforce. Our primary contract manufacturers include Benchmark, MTI, NJRC, Spectral Response, Secure Communications and IEC Electronics.</w:t>
      </w:r>
    </w:p>
    <w:p>
      <w:pPr>
        <w:spacing w:after="0" w:line="63"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We intend to limit our internal manufacturing capacity to new product development support and customized products that need to be manufactured in strict accordance with a customer’s specifications and delivery schedule. Therefore, our internal manufacturing capability for standard products has been, and is expected to continue to be, very limited, and we intend to rely on contract manufacturers for large-scale manufacturing.</w:t>
      </w:r>
    </w:p>
    <w:p>
      <w:pPr>
        <w:spacing w:after="0" w:line="71" w:lineRule="exact"/>
        <w:rPr>
          <w:sz w:val="20"/>
          <w:szCs w:val="20"/>
          <w:color w:val="auto"/>
        </w:rPr>
      </w:pPr>
    </w:p>
    <w:p>
      <w:pPr>
        <w:ind w:right="320" w:firstLine="222"/>
        <w:spacing w:after="0" w:line="259" w:lineRule="auto"/>
        <w:rPr>
          <w:sz w:val="20"/>
          <w:szCs w:val="20"/>
          <w:color w:val="auto"/>
        </w:rPr>
      </w:pPr>
      <w:r>
        <w:rPr>
          <w:rFonts w:ascii="Arial" w:cs="Arial" w:eastAsia="Arial" w:hAnsi="Arial"/>
          <w:sz w:val="18"/>
          <w:szCs w:val="18"/>
          <w:color w:val="auto"/>
        </w:rPr>
        <w:t>We also rely on outside vendors to manufacture specific components and subassemblies used in the production of our products. Some components, subassemblies and services necessary for the manufacture of our products are obtained from a sole supplier or a limited group of suppliers. In particular, Texas Instruments and Broadcom are sole source suppliers of certain digital signal processing chips, which are critical components we use in many of our products.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21"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As a defense contractor, our contract costs are audited and reviewed by the Defense Contract Audit Agency. Audits and investigations are conducted from time to time to determine if our performance and administering of our U.S. government contracts in compliance with applicable contractual requirements and procurement regulations and other applicable federal statutes and regulations. Under current U.S. government procurement regulations, if indicted or deemed in violation of procurement or other federal civil laws, a contractor, such as us, could be subject to fines, penalties, repayments or other damages. U.S. government regulations also provide that certain findings against a contractor may lead to suspension or debarment from eligibility for awards of new U.S. government contracts.</w:t>
      </w:r>
    </w:p>
    <w:p>
      <w:pPr>
        <w:spacing w:after="0" w:line="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Some of our products are incorporated into wireless communications systems that are subject to regulation domestically by the Federal Communications Commission (FCC) and internationally by other government agencies. Although the equipment operators and not us are often responsible for compliance with these regulations, regulatory changes, including changes in the allocation of available frequency spectrum and in the military standards which define the current networking environment, could materially adversely affect our operations by restricting development efforts by our customers, making current products obsolete or increasing the opportunity for additional competition. Changes in, or our failure to manufacture products in compliance with, applicable regulations could materially harm our business. In addition, the increasing demand for wireless communications has exerted pressure on regulatory bodies world 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effect on the sale of our products to the customers.</w:t>
      </w:r>
    </w:p>
    <w:p>
      <w:pPr>
        <w:spacing w:after="0" w:line="59"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We are also subject to a variety of local, state and federal government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5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Due to the nature and sophistication of our communications products, we must comply with applicable State Department and other Federal agency 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79" w:lineRule="exact"/>
        <w:rPr>
          <w:sz w:val="20"/>
          <w:szCs w:val="20"/>
          <w:color w:val="auto"/>
        </w:rPr>
      </w:pPr>
    </w:p>
    <w:p>
      <w:pPr>
        <w:ind w:right="360" w:firstLine="225"/>
        <w:spacing w:after="0" w:line="273" w:lineRule="auto"/>
        <w:rPr>
          <w:sz w:val="20"/>
          <w:szCs w:val="20"/>
          <w:color w:val="auto"/>
        </w:rPr>
      </w:pPr>
      <w:r>
        <w:rPr>
          <w:rFonts w:ascii="Arial" w:cs="Arial" w:eastAsia="Arial" w:hAnsi="Arial"/>
          <w:sz w:val="17"/>
          <w:szCs w:val="17"/>
          <w:color w:val="auto"/>
        </w:rPr>
        <w:t>In addition to the local, state and federal government regulations, we must comply with applicable laws and obtain the approval of the regulatory authorities of each foreign country in which we operate. The laws and regulatory requirements relating to satellite communications and other wireless communications systems vary from country to country. Some countries have substantially deregulated satellite communications and other wireless communications, while other countries maintain strict and often burdensome regulations. The procedure to obtain these regulatory approvals can be time-consuming and costly, and the terms of the approvals vary for different countries. In addition, in some countries there may be restrictions on the ability to interconnect satellite communications with ground-based communications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121"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any materials filed with the SEC may be read and copied by the public at the SEC’s Public Reference Room at 100 F Street, NE, Washington, DC 20549. The public may obtain information on the operation of the Public Reference Room by calling the SEC at 1-800-SEC-0330. The information on our website is not part of this report or any other report that we furnish to or file with the SEC.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20" w:firstLine="215"/>
        <w:spacing w:after="0" w:line="259" w:lineRule="auto"/>
        <w:rPr>
          <w:sz w:val="20"/>
          <w:szCs w:val="20"/>
          <w:color w:val="auto"/>
        </w:rPr>
      </w:pPr>
      <w:r>
        <w:rPr>
          <w:rFonts w:ascii="Arial" w:cs="Arial" w:eastAsia="Arial" w:hAnsi="Arial"/>
          <w:sz w:val="18"/>
          <w:szCs w:val="18"/>
          <w:color w:val="auto"/>
        </w:rPr>
        <w:t>As of March 28, 2008, we employed approximately 1,680 individuals worldwide. We consider the relationships with our employees to be positive. Competition for technical personnel in our industry is intense. We believe our future success depends in part on our continued ability to hire, assimilate and retain qualified personnel. To date, we believe we have been successful in recruiting qualified employees, but there is no assurance we will continue to be successful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Set forth below is information concerning our executive officers and their ages as of March 28,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6060" w:type="dxa"/>
            <w:vAlign w:val="bottom"/>
            <w:gridSpan w:val="2"/>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340" w:type="dxa"/>
            <w:vAlign w:val="bottom"/>
            <w:shd w:val="clear" w:color="auto" w:fill="CCEEFF"/>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Richard A. Baldridge</w:t>
            </w:r>
          </w:p>
        </w:tc>
        <w:tc>
          <w:tcPr>
            <w:tcW w:w="78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49</w:t>
            </w:r>
          </w:p>
        </w:tc>
        <w:tc>
          <w:tcPr>
            <w:tcW w:w="6060" w:type="dxa"/>
            <w:vAlign w:val="bottom"/>
            <w:gridSpan w:val="2"/>
          </w:tcPr>
          <w:p>
            <w:pPr>
              <w:ind w:left="34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 Stephen Estes</w:t>
            </w:r>
          </w:p>
        </w:tc>
        <w:tc>
          <w:tcPr>
            <w:tcW w:w="7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53</w:t>
            </w: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 Human Resources</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Kevin J. Harkenrider</w:t>
            </w:r>
          </w:p>
        </w:tc>
        <w:tc>
          <w:tcPr>
            <w:tcW w:w="78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52</w:t>
            </w:r>
          </w:p>
        </w:tc>
        <w:tc>
          <w:tcPr>
            <w:tcW w:w="6060" w:type="dxa"/>
            <w:vAlign w:val="bottom"/>
            <w:gridSpan w:val="2"/>
          </w:tcPr>
          <w:p>
            <w:pPr>
              <w:ind w:left="340"/>
              <w:spacing w:after="0"/>
              <w:rPr>
                <w:sz w:val="20"/>
                <w:szCs w:val="20"/>
                <w:color w:val="auto"/>
              </w:rPr>
            </w:pPr>
            <w:r>
              <w:rPr>
                <w:rFonts w:ascii="Arial" w:cs="Arial" w:eastAsia="Arial" w:hAnsi="Arial"/>
                <w:sz w:val="18"/>
                <w:szCs w:val="18"/>
                <w:color w:val="auto"/>
              </w:rPr>
              <w:t>Vice President — Operations</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Steven R. Hart</w:t>
            </w:r>
          </w:p>
        </w:tc>
        <w:tc>
          <w:tcPr>
            <w:tcW w:w="7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55</w:t>
            </w: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Keven K. Lippert</w:t>
            </w:r>
          </w:p>
        </w:tc>
        <w:tc>
          <w:tcPr>
            <w:tcW w:w="78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35</w:t>
            </w:r>
          </w:p>
        </w:tc>
        <w:tc>
          <w:tcPr>
            <w:tcW w:w="6060" w:type="dxa"/>
            <w:vAlign w:val="bottom"/>
            <w:gridSpan w:val="2"/>
          </w:tcPr>
          <w:p>
            <w:pPr>
              <w:ind w:left="340"/>
              <w:spacing w:after="0"/>
              <w:rPr>
                <w:sz w:val="20"/>
                <w:szCs w:val="20"/>
                <w:color w:val="auto"/>
              </w:rPr>
            </w:pPr>
            <w:r>
              <w:rPr>
                <w:rFonts w:ascii="Arial" w:cs="Arial" w:eastAsia="Arial" w:hAnsi="Arial"/>
                <w:sz w:val="18"/>
                <w:szCs w:val="18"/>
                <w:color w:val="auto"/>
              </w:rPr>
              <w:t>Vice President — General Counsel and Secretary</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Mark J. Miller</w:t>
            </w:r>
          </w:p>
        </w:tc>
        <w:tc>
          <w:tcPr>
            <w:tcW w:w="7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48</w:t>
            </w: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Brandon L. Nixon</w:t>
            </w:r>
          </w:p>
        </w:tc>
        <w:tc>
          <w:tcPr>
            <w:tcW w:w="78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44</w:t>
            </w:r>
          </w:p>
        </w:tc>
        <w:tc>
          <w:tcPr>
            <w:tcW w:w="6060" w:type="dxa"/>
            <w:vAlign w:val="bottom"/>
            <w:gridSpan w:val="2"/>
          </w:tcPr>
          <w:p>
            <w:pPr>
              <w:ind w:left="34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7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41</w:t>
            </w: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94"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b w:val="1"/>
          <w:bCs w:val="1"/>
          <w:i w:val="1"/>
          <w:iCs w:val="1"/>
          <w:color w:val="auto"/>
        </w:rPr>
        <w:t xml:space="preserve">Mark D. Dankberg </w:t>
      </w:r>
      <w:r>
        <w:rPr>
          <w:rFonts w:ascii="Arial" w:cs="Arial" w:eastAsia="Arial" w:hAnsi="Arial"/>
          <w:sz w:val="16"/>
          <w:szCs w:val="16"/>
          <w:color w:val="auto"/>
        </w:rPr>
        <w:t>is a founder of ViaSat and has served as Chairman of the Board and Chief Executive Officer of ViaSat since its inception in May 1986.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Dankberg also serves as a director of TrellisWare Technologies, Inc., a privately-held subsidiary of ViaSat that develops advanced signal processing technologies for communication applications. Mr. Dankberg is a director and member of the audit committee of REMEC, Inc., which is now in dissolution. In addition, Mr. Dankberg serves on the advisory board of Minnetronix, Inc., a privately-held medical device and design company.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57"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b w:val="1"/>
          <w:bCs w:val="1"/>
          <w:i w:val="1"/>
          <w:iCs w:val="1"/>
          <w:color w:val="auto"/>
        </w:rPr>
        <w:t xml:space="preserve">Richard A. Baldridge </w:t>
      </w:r>
      <w:r>
        <w:rPr>
          <w:rFonts w:ascii="Arial" w:cs="Arial" w:eastAsia="Arial" w:hAnsi="Arial"/>
          <w:sz w:val="16"/>
          <w:szCs w:val="16"/>
          <w:color w:val="auto"/>
        </w:rPr>
        <w:t>joined ViaSat in April 1999 as Vice President and Chief Financial Officer. From September 2000 to August 2002, Mr. Baldridge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Executive Vice President, Chief Operating Officer and Chief Financial Officer. He currently serves as President and Chief Operating Officer of ViaSat. Prior to joining ViaSat, Mr. Baldridge served as Vice President and General Manager of Raytheon Corporation’s Training Systems Division from January 1998 to April 1999. From June 1994 to December 1997, Mr. Baldridge served as Chief Operating Officer, Chief Financial Officer and Vice President</w:t>
      </w:r>
    </w:p>
    <w:p>
      <w:pPr>
        <w:spacing w:after="0" w:line="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Finance and Administration for Hughes Information Systems and Hughes Training Inc., prior to their acquisition by Raytheon in 1997. Mr. Baldridge’s other experience includes various senior financial management roles with General Dynamics Corporation. Mr. Baldridge holds a B.S. degree in Business Administration, with an emphasis in Information Systems, from New Mexico State University.</w:t>
      </w:r>
    </w:p>
    <w:p>
      <w:pPr>
        <w:spacing w:after="0" w:line="82" w:lineRule="exact"/>
        <w:rPr>
          <w:sz w:val="20"/>
          <w:szCs w:val="20"/>
          <w:color w:val="auto"/>
        </w:rPr>
      </w:pPr>
    </w:p>
    <w:p>
      <w:pPr>
        <w:ind w:right="60" w:firstLine="233"/>
        <w:spacing w:after="0" w:line="273" w:lineRule="auto"/>
        <w:tabs>
          <w:tab w:leader="none" w:pos="455" w:val="left"/>
        </w:tabs>
        <w:numPr>
          <w:ilvl w:val="1"/>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Stephen Estes </w:t>
      </w:r>
      <w:r>
        <w:rPr>
          <w:rFonts w:ascii="Arial" w:cs="Arial" w:eastAsia="Arial" w:hAnsi="Arial"/>
          <w:sz w:val="17"/>
          <w:szCs w:val="17"/>
          <w:color w:val="auto"/>
        </w:rPr>
        <w:t>first became part of the ViaSat team with the acquisition of several commercial divisions of Scientific-Atlanta in April 2000. Mr. Estes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Vice President and General Manager of the Antenna Systems group from 2000 to 2003. From 2003 to 2005, he served as a co-founder of an entrepreneurial startup. In September 2005, Mr. Estes rejoined ViaSat as Vice President Human Resources. Mr. Estes began his career as an electrical design engineer, moving into various management positions in engineering, program management, sales and marketing, and general management for companies that included Scientific-Atlanta, Loral (now part of L-3), and AEL Cross Systems (now part of BAE). Mr. Estes holds a B.S. degree in Mathematics and an Electrical Engineering degree from Georgia Tech, along with an M.B.A. degree focused on finance and marketing.</w:t>
      </w:r>
    </w:p>
    <w:p>
      <w:pPr>
        <w:spacing w:after="0" w:line="7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i w:val="1"/>
          <w:iCs w:val="1"/>
          <w:color w:val="auto"/>
        </w:rPr>
        <w:t xml:space="preserve">Kevin J. Harkenrider </w:t>
      </w:r>
      <w:r>
        <w:rPr>
          <w:rFonts w:ascii="Arial" w:cs="Arial" w:eastAsia="Arial" w:hAnsi="Arial"/>
          <w:sz w:val="17"/>
          <w:szCs w:val="17"/>
          <w:color w:val="auto"/>
        </w:rPr>
        <w:t>joined ViaSat in October 2006 as Director — Operations and since January 2007 has served as Vice President— Operations.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the company, Mr. Harkenrider served as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 President—Operations and Vice President—Material.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 xml:space="preserve">Steven R. Hart </w:t>
      </w:r>
      <w:r>
        <w:rPr>
          <w:rFonts w:ascii="Arial" w:cs="Arial" w:eastAsia="Arial" w:hAnsi="Arial"/>
          <w:sz w:val="16"/>
          <w:szCs w:val="16"/>
          <w:color w:val="auto"/>
        </w:rPr>
        <w:t>is a founder of ViaSat and has served as Vice President and Chief Technical Officer since March 1993. Mr. Hart served as Vice President</w:t>
      </w:r>
    </w:p>
    <w:p>
      <w:pPr>
        <w:spacing w:after="0" w:line="46"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 Engineering from March 1997 to January 2007 and as Engineering Manager since 1986. Prior to joining ViaSat, Mr. Hart was a Staff Engineer and Manager at M/A-COM Linkabit from 1982 to 1986. Mr. Hart holds a B.S. degree in Mathematics from the University of Nevada, Las Vegas and a M.A. degree in Mathematics from the University of California, San Diego.</w:t>
      </w:r>
    </w:p>
    <w:p>
      <w:pPr>
        <w:spacing w:after="0" w:line="82"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b w:val="1"/>
          <w:bCs w:val="1"/>
          <w:i w:val="1"/>
          <w:iCs w:val="1"/>
          <w:color w:val="auto"/>
        </w:rPr>
        <w:t xml:space="preserve">Keven K. Lippert </w:t>
      </w:r>
      <w:r>
        <w:rPr>
          <w:rFonts w:ascii="Arial" w:cs="Arial" w:eastAsia="Arial" w:hAnsi="Arial"/>
          <w:sz w:val="16"/>
          <w:szCs w:val="16"/>
          <w:color w:val="auto"/>
        </w:rPr>
        <w:t>has served as Vice President — General Counsel and Secretary of ViaSat since April 2007 and as Associate General Counsel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Assistant Secretary from May 2000 to April 2007.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3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b w:val="1"/>
          <w:bCs w:val="1"/>
          <w:i w:val="1"/>
          <w:iCs w:val="1"/>
          <w:color w:val="auto"/>
        </w:rPr>
        <w:t xml:space="preserve">Mark J. Miller </w:t>
      </w:r>
      <w:r>
        <w:rPr>
          <w:rFonts w:ascii="Arial" w:cs="Arial" w:eastAsia="Arial" w:hAnsi="Arial"/>
          <w:sz w:val="18"/>
          <w:szCs w:val="18"/>
          <w:color w:val="auto"/>
        </w:rPr>
        <w:t>is a founder of ViaSat and has served as Vice President and Chief Technical Officer of ViaSat since 1993 and as Engineering Manager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1986. Prior to joining ViaSat, Mr. Miller was a Staff Engineer at M/A-COM Linkabit from 1983 to 1986. Mr. Miller holds a B.S.E.E. degree from the University of California, San Diego and a M.S.E.E. degree from the University of California, Los Angeles.</w:t>
      </w:r>
    </w:p>
    <w:p>
      <w:pPr>
        <w:spacing w:after="0" w:line="73"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b w:val="1"/>
          <w:bCs w:val="1"/>
          <w:i w:val="1"/>
          <w:iCs w:val="1"/>
          <w:color w:val="auto"/>
        </w:rPr>
        <w:t xml:space="preserve">Brandon L. Nixon </w:t>
      </w:r>
      <w:r>
        <w:rPr>
          <w:rFonts w:ascii="Arial" w:cs="Arial" w:eastAsia="Arial" w:hAnsi="Arial"/>
          <w:sz w:val="16"/>
          <w:szCs w:val="16"/>
          <w:color w:val="auto"/>
        </w:rPr>
        <w:t>became a Senior Vice President of ViaSat in March 2008. He joined the company in June 2006 following the acquisition of Enerdyne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Inc. (Enerdyne). From October 2002 to June 2006 he served as the Chief Executive Officer of Enerdyne. Earlier, after a recapitalization</w:t>
      </w:r>
    </w:p>
    <w:p>
      <w:pPr>
        <w:spacing w:after="0" w:line="252" w:lineRule="auto"/>
        <w:rPr>
          <w:sz w:val="20"/>
          <w:szCs w:val="20"/>
          <w:color w:val="auto"/>
        </w:rPr>
      </w:pPr>
      <w:r>
        <w:rPr>
          <w:rFonts w:ascii="Arial" w:cs="Arial" w:eastAsia="Arial" w:hAnsi="Arial"/>
          <w:sz w:val="18"/>
          <w:szCs w:val="18"/>
          <w:color w:val="auto"/>
        </w:rPr>
        <w:t>Mr. Nixon served as the Chief Executive Officer of Enerdyne’s parent company along with a sibling subsidiary, Boatracs LLC. Mr. Nixon served as the Chief Executive Officer of both companies until divesting of Boatracs, LLC in October 2004. Prior to joining Enerdyne, Mr. Nixon spent nearly two decades in a variety of executive, management and investor positions within the technology and communication industries, including Hewlett-Packard, Texas Instruments, Cirrus Logic and SAIC. Just prior to joining Enerdyne, Mr. Nixon was a General Partner with a private equity firm, Housatonic Partners, where he founded the firm’s communications practice. In his capacity as General Partner, he invested in, acquired or founded a number of telecommunications related companies. Mr. Nixon holds a B.S. degree in Computer Engineering from University of California, San Diego and an M.B.A. degree from the Stanford Graduate School of Business.</w:t>
      </w:r>
    </w:p>
    <w:p>
      <w:pPr>
        <w:spacing w:after="0" w:line="8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b w:val="1"/>
          <w:bCs w:val="1"/>
          <w:i w:val="1"/>
          <w:iCs w:val="1"/>
          <w:color w:val="auto"/>
        </w:rPr>
        <w:t xml:space="preserve">Ronald G. Wangerin </w:t>
      </w:r>
      <w:r>
        <w:rPr>
          <w:rFonts w:ascii="Arial" w:cs="Arial" w:eastAsia="Arial" w:hAnsi="Arial"/>
          <w:sz w:val="18"/>
          <w:szCs w:val="18"/>
          <w:color w:val="auto"/>
        </w:rPr>
        <w:t>joined ViaSat in August 2002 as Vice President and Chief Financial Officer. Prior to joining ViaSat, Mr. Wangerin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Chief Financial Officer, Treasurer, and Secretary at NexusData Inc., a privately-held wireless data collection company, from 2000 to 2002. From 1997 to 2000, Mr. Wangerin held several positions at Hughes Training, Inc., a subsidiary of Raytheon Company, including Vice President and Chief Financial Officer. Mr. Wangerin worked for Deloitte &amp; Touche LLP from 1989 to 1997. Mr. Wangerin holds a B.S. degree in Accounting and a Masters of Accounting degree from the University of Southern California.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218"/>
        <w:spacing w:after="0" w:line="257"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Owning and Operating Satellites Involve Considerable Risks</w:t>
      </w:r>
    </w:p>
    <w:p>
      <w:pPr>
        <w:spacing w:after="0" w:line="12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January 2008, we executed an agreement to purchase ViaSat-1, our first broadband satellite, and we may acquire one or more additional satellites in the future. We also plan to develop next generation SurfBeam ground infrastructure and terminals for use with such satellites. We currently plan to launch our ViaSat-1 satellite in early 2011 and introduce service later in 2011. If we are unable to have manufactured or successfully launch a satellite or implement our satellite service business in a timely manner, or at all,</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a result of any of the following risks, we will be unable to realize the anticipated benefits from our satellite and associated services business, and our business, financial condition and results of operations could be materially adversely affected:</w:t>
      </w:r>
    </w:p>
    <w:p>
      <w:pPr>
        <w:spacing w:after="0" w:line="62" w:lineRule="exact"/>
        <w:rPr>
          <w:sz w:val="20"/>
          <w:szCs w:val="20"/>
          <w:color w:val="auto"/>
        </w:rPr>
      </w:pPr>
    </w:p>
    <w:p>
      <w:pPr>
        <w:ind w:left="660" w:right="40" w:hanging="436"/>
        <w:spacing w:after="0" w:line="271"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i w:val="1"/>
          <w:iCs w:val="1"/>
          <w:color w:val="auto"/>
        </w:rPr>
        <w:t>Cost and Schedule Risks</w:t>
      </w:r>
      <w:r>
        <w:rPr>
          <w:rFonts w:ascii="Arial" w:cs="Arial" w:eastAsia="Arial" w:hAnsi="Arial"/>
          <w:sz w:val="17"/>
          <w:szCs w:val="17"/>
          <w:color w:val="auto"/>
        </w:rPr>
        <w:t>. The cost of completing satellites and developing the associated next generation SurfBeam ground infrastructure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anticipated and there may be delays in completing satellites and SurfBeam infrastructure within the expected timeframe. We may be required to spend in excess of our current forecast for the completion, launch and launch insurance of the ViaSat-1 satellite or for the development associated with the next generation SurfBeam equipment. The construction and launch of satellites are often subject to delays, including satellite and launch vehicle construction delays, cost overruns, periodic unavailability of reliable launch opportunities, and delays in obtaining regulatory approvals. If the satellite construction schedule is not met, there may be even further delays because there can be no assurance that a launch opportunity will be available at the time the satellite is ready to be launched and we may not be able to obtain or maintain regulatory authority or International Telecommunication Union (ITU) priority necessary to implement the satellite as proposed.</w:t>
      </w:r>
    </w:p>
    <w:p>
      <w:pPr>
        <w:spacing w:after="0" w:line="84" w:lineRule="exact"/>
        <w:rPr>
          <w:rFonts w:ascii="Arial" w:cs="Arial" w:eastAsia="Arial" w:hAnsi="Arial"/>
          <w:sz w:val="17"/>
          <w:szCs w:val="17"/>
          <w:b w:val="1"/>
          <w:bCs w:val="1"/>
          <w:color w:val="auto"/>
        </w:rPr>
      </w:pPr>
    </w:p>
    <w:p>
      <w:pPr>
        <w:ind w:left="660" w:right="80" w:hanging="436"/>
        <w:spacing w:after="0" w:line="25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Business Plan</w:t>
      </w:r>
      <w:r>
        <w:rPr>
          <w:rFonts w:ascii="Arial" w:cs="Arial" w:eastAsia="Arial" w:hAnsi="Arial"/>
          <w:sz w:val="18"/>
          <w:szCs w:val="18"/>
          <w:color w:val="auto"/>
        </w:rPr>
        <w:t>. We may be unsuccessful in implementing our business plan for satellite services, or we may not be able to achieve the revenue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from our satellite services segment. A failure to attract either distributors or customers in a sufficient number would result in lower revenues than anticipated. In addition, we will incur losses associated with the launch and operation of satellite services until we acquire a sufficient number of customers, which may not occur as expected or at all.</w:t>
      </w:r>
    </w:p>
    <w:p>
      <w:pPr>
        <w:spacing w:after="0" w:line="92" w:lineRule="exact"/>
        <w:rPr>
          <w:rFonts w:ascii="Arial" w:cs="Arial" w:eastAsia="Arial" w:hAnsi="Arial"/>
          <w:sz w:val="18"/>
          <w:szCs w:val="18"/>
          <w:b w:val="1"/>
          <w:bCs w:val="1"/>
          <w:color w:val="auto"/>
        </w:rPr>
      </w:pPr>
    </w:p>
    <w:p>
      <w:pPr>
        <w:ind w:left="660" w:hanging="436"/>
        <w:spacing w:after="0" w:line="270"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i w:val="1"/>
          <w:iCs w:val="1"/>
          <w:color w:val="auto"/>
        </w:rPr>
        <w:t>Regulatory Risk</w:t>
      </w:r>
      <w:r>
        <w:rPr>
          <w:rFonts w:ascii="Arial" w:cs="Arial" w:eastAsia="Arial" w:hAnsi="Arial"/>
          <w:sz w:val="17"/>
          <w:szCs w:val="17"/>
          <w:color w:val="auto"/>
        </w:rPr>
        <w:t>. If we do not obtain all requisite regulatory approvals for the construction, launch and operation of any satellite we acquire,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obtained impose operational restrictions on us, our ability to generate revenue and profits could be materially adversely affected. In addition, under certain circumstances, government licenses are subject to revocation or modification, and upon expiration, renewal may not be granted. In certain cases, satellite system operators are obligated by governmental regulation and procedures of the ITU to coordinate the operation of their systems with other users of the radio spectrum in order to avoid causing interference to those other users. Coordination may require a satellite system operator to reduce power, avoid operating on certain frequencies, relocate its satellite to another orbital location and/or otherwise modify planned or existing operations. Satellite authorizations granted by the FCC or foreign regulatory agencies are typically subject to conditions imposed by such regulatory agency in addition to such agency’s general authority to modify, cancel or revoke those authorizations. Failure to comply with such requirements, or comply in a timely manner, could lead to the loss of authorizations and could have a material adverse effect on our ability to generate revenue.</w:t>
      </w:r>
    </w:p>
    <w:p>
      <w:pPr>
        <w:spacing w:after="0" w:line="83" w:lineRule="exact"/>
        <w:rPr>
          <w:rFonts w:ascii="Arial" w:cs="Arial" w:eastAsia="Arial" w:hAnsi="Arial"/>
          <w:sz w:val="17"/>
          <w:szCs w:val="17"/>
          <w:b w:val="1"/>
          <w:bCs w:val="1"/>
          <w:color w:val="auto"/>
        </w:rPr>
      </w:pPr>
    </w:p>
    <w:p>
      <w:pPr>
        <w:ind w:left="660" w:right="180" w:hanging="436"/>
        <w:spacing w:after="0" w:line="25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Launch Risks</w:t>
      </w:r>
      <w:r>
        <w:rPr>
          <w:rFonts w:ascii="Arial" w:cs="Arial" w:eastAsia="Arial" w:hAnsi="Arial"/>
          <w:sz w:val="18"/>
          <w:szCs w:val="18"/>
          <w:color w:val="auto"/>
        </w:rPr>
        <w:t>. There are risks associated with the launch of satellites, including launch failure, damage or destruction during launch and improper</w:t>
      </w:r>
      <w:r>
        <w:rPr>
          <w:rFonts w:ascii="Arial" w:cs="Arial" w:eastAsia="Arial" w:hAnsi="Arial"/>
          <w:sz w:val="18"/>
          <w:szCs w:val="18"/>
          <w:i w:val="1"/>
          <w:iCs w:val="1"/>
          <w:color w:val="auto"/>
        </w:rPr>
        <w:t xml:space="preserve"> </w:t>
      </w:r>
      <w:r>
        <w:rPr>
          <w:rFonts w:ascii="Arial" w:cs="Arial" w:eastAsia="Arial" w:hAnsi="Arial"/>
          <w:sz w:val="18"/>
          <w:szCs w:val="18"/>
          <w:color w:val="auto"/>
        </w:rPr>
        <w:t>orbital placement. Launch failures result in significant delays in the deployment of satellites because of the need both to construct replacement satellites, which can take up to 36 months, and obtain other launch opportunities. The overall historical loss rate in the satellite industry for all launches of commercial satellites in fixed orbits in the last five years is estimated by some industry participants to be 10% but could at any time be higher.</w:t>
      </w:r>
    </w:p>
    <w:p>
      <w:pPr>
        <w:spacing w:after="0" w:line="93" w:lineRule="exact"/>
        <w:rPr>
          <w:rFonts w:ascii="Arial" w:cs="Arial" w:eastAsia="Arial" w:hAnsi="Arial"/>
          <w:sz w:val="18"/>
          <w:szCs w:val="18"/>
          <w:b w:val="1"/>
          <w:bCs w:val="1"/>
          <w:color w:val="auto"/>
        </w:rPr>
      </w:pPr>
    </w:p>
    <w:p>
      <w:pPr>
        <w:ind w:left="660" w:right="40" w:hanging="436"/>
        <w:spacing w:after="0" w:line="255"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In-Orbit Risks</w:t>
      </w:r>
      <w:r>
        <w:rPr>
          <w:rFonts w:ascii="Arial" w:cs="Arial" w:eastAsia="Arial" w:hAnsi="Arial"/>
          <w:sz w:val="18"/>
          <w:szCs w:val="18"/>
          <w:color w:val="auto"/>
        </w:rPr>
        <w:t>. Any satellite we acquire will be subject to similar potential satellite failures or performance degradations as with other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Satellites are subject to in-orbit risks including malfunctions, commonly referred to as anomalies, and collisions with meteoroids, decommissioned spacecraft or other space debris. Anomalies occur as a result of various factors, such as satellite manufacturing errors, problems with the power systems or control systems of the satellites and general failures resulting from operating satellites in the harsh space environment. To the extent there is an anomaly or other in-orbit failure with respect to the ViaSat-1 satellite or any other satellite we may acquire, we may not have a replacement satellite.</w:t>
      </w:r>
    </w:p>
    <w:p>
      <w:pPr>
        <w:spacing w:after="0" w:line="98" w:lineRule="exact"/>
        <w:rPr>
          <w:rFonts w:ascii="Arial" w:cs="Arial" w:eastAsia="Arial" w:hAnsi="Arial"/>
          <w:sz w:val="18"/>
          <w:szCs w:val="18"/>
          <w:b w:val="1"/>
          <w:bCs w:val="1"/>
          <w:color w:val="auto"/>
        </w:rPr>
      </w:pPr>
    </w:p>
    <w:p>
      <w:pPr>
        <w:ind w:left="660" w:right="20" w:hanging="436"/>
        <w:spacing w:after="0" w:line="255"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Minimum Design Life</w:t>
      </w:r>
      <w:r>
        <w:rPr>
          <w:rFonts w:ascii="Arial" w:cs="Arial" w:eastAsia="Arial" w:hAnsi="Arial"/>
          <w:sz w:val="18"/>
          <w:szCs w:val="18"/>
          <w:color w:val="auto"/>
        </w:rPr>
        <w:t>. Our ability to earn revenue depends on the usefulness of the ViaSat-1 satellite and any other satellite we may acquire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Each satellite has a limited useful life. A number of factors affect the useful lives of the satellites, including, among other things, the quality of their construction, the durability of their component parts, the ability to continue to maintain proper orbit and control over the satellite’s functions, the efficiency of the launch vehicle used, and the remaining on-board fuel following orbit insertion. The minimum design life of ViaSat-1 is estimated to be 15 years. In addition, continued improvements in satellite technology may obsolete the ViaSat-1 satellite or any other satellite we may acquire prior to the end of its life. Therefore, we can provide no assurance as to the actual useful life of ViaSat-1 or any other satellite that we may acquire.</w:t>
      </w:r>
    </w:p>
    <w:p>
      <w:pPr>
        <w:spacing w:after="0" w:line="94" w:lineRule="exact"/>
        <w:rPr>
          <w:rFonts w:ascii="Arial" w:cs="Arial" w:eastAsia="Arial" w:hAnsi="Arial"/>
          <w:sz w:val="18"/>
          <w:szCs w:val="18"/>
          <w:b w:val="1"/>
          <w:bCs w:val="1"/>
          <w:color w:val="auto"/>
        </w:rPr>
      </w:pPr>
    </w:p>
    <w:p>
      <w:pPr>
        <w:ind w:left="660" w:right="20" w:hanging="436"/>
        <w:spacing w:after="0" w:line="25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Insurance Risks</w:t>
      </w:r>
      <w:r>
        <w:rPr>
          <w:rFonts w:ascii="Arial" w:cs="Arial" w:eastAsia="Arial" w:hAnsi="Arial"/>
          <w:sz w:val="18"/>
          <w:szCs w:val="18"/>
          <w:color w:val="auto"/>
        </w:rPr>
        <w:t>. We intend to seek launch and in-orbit insurance for the ViaSat-1 satellite and for any other satellite we may acquire, but we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able to obtain insurance on reasonable economic terms or at all. If we are able to obtain insurance, it will contain customary exclusions and will not likely cover the full cost of constructing and launching the satellite, nor will it cover business interruptions or similar losses. In addition, the occurrence of any anomalies on other satellites, including Ka-band satellites, may materially adversely affect our ability to insure the satellite at commercially reasonable premiums, if at 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80" w:hanging="436"/>
        <w:spacing w:after="0" w:line="25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Joint Venture Risks</w:t>
      </w:r>
      <w:r>
        <w:rPr>
          <w:rFonts w:ascii="Arial" w:cs="Arial" w:eastAsia="Arial" w:hAnsi="Arial"/>
          <w:sz w:val="18"/>
          <w:szCs w:val="18"/>
          <w:color w:val="auto"/>
        </w:rPr>
        <w:t>. We may own or operate future broadband satellites through joint ventures which we do not control. If we were to enter into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joint venture, the entities or persons that control such joint venture may have interests and goals that are inconsistent or different from ours, which could result in any such joint venture taking actions that negatively impact our business or financial condition. In addition, if any other members of such joint venture were to file for bankruptcy or otherwise fail to perform its obligations or to manage the joint venture effectively, this could cause us to lose our investment in any such joint venture entity.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121" w:lineRule="exact"/>
        <w:rPr>
          <w:sz w:val="20"/>
          <w:szCs w:val="20"/>
          <w:color w:val="auto"/>
        </w:rPr>
      </w:pPr>
    </w:p>
    <w:p>
      <w:pPr>
        <w:ind w:firstLine="215"/>
        <w:spacing w:after="0" w:line="254" w:lineRule="auto"/>
        <w:rPr>
          <w:sz w:val="20"/>
          <w:szCs w:val="20"/>
          <w:color w:val="auto"/>
        </w:rPr>
      </w:pPr>
      <w:r>
        <w:rPr>
          <w:rFonts w:ascii="Arial" w:cs="Arial" w:eastAsia="Arial" w:hAnsi="Arial"/>
          <w:sz w:val="18"/>
          <w:szCs w:val="18"/>
          <w:color w:val="auto"/>
        </w:rPr>
        <w:t>A small number of our contracts account for a significant percentage of our revenues. Our largest revenue producing contracts are related to our tactical data links (which includes MIDS) products which generated approximately 24% of our revenues in fiscal year 2008, 23% of our revenues in fiscal year 2007 and 24% of our revenues in fiscal year 2006. Our five largest contracts generated approximately 44% of our revenues in fiscal year 2008, 46% of our revenues in fiscal year 2007 and 44% of our revenues in fiscal year 2006. Further, we derived approximately 7% of our revenues in fiscal year 2008, 15% of our revenues in fiscal year 2007 and 19% of our revenues in fiscal year 2006 from sales of VSAT communications networks. The failure of these customers to place additional orders or to maintain these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If Our Customers Experience Financial or Other Difficulties, Our Business Could Be Materially Harmed</w:t>
      </w:r>
    </w:p>
    <w:p>
      <w:pPr>
        <w:spacing w:after="0" w:line="121" w:lineRule="exact"/>
        <w:rPr>
          <w:sz w:val="20"/>
          <w:szCs w:val="20"/>
          <w:color w:val="auto"/>
        </w:rPr>
      </w:pPr>
    </w:p>
    <w:p>
      <w:pPr>
        <w:ind w:right="40" w:firstLine="215"/>
        <w:spacing w:after="0" w:line="272" w:lineRule="auto"/>
        <w:rPr>
          <w:sz w:val="20"/>
          <w:szCs w:val="20"/>
          <w:color w:val="auto"/>
        </w:rPr>
      </w:pPr>
      <w:r>
        <w:rPr>
          <w:rFonts w:ascii="Arial" w:cs="Arial" w:eastAsia="Arial" w:hAnsi="Arial"/>
          <w:sz w:val="17"/>
          <w:szCs w:val="17"/>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that provide satellite based services (including WildBlue, Telesat, Intelsat, Shin Satellite, Eutelsat and ARINC) could be materially affected by a satellite failure as well as by partial satellite failure, satellite performance degradation, satellite manufacturing errors, and other failures resulting from operating satellites in the harsh space environment. We cannot assure you that our customers will be successful in managing these risks. If our customers do not successfully manage these types of risks, it could impair our ability to generate revenues, collect amounts due from these customers and materially harm our business.</w:t>
      </w:r>
    </w:p>
    <w:p>
      <w:pPr>
        <w:spacing w:after="0" w:line="7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Major communications infrastructure programs, such as proposed satellite communications systems, are important sources of our current and planned future revenues. We also participate in a number of defense programs. Programs of these types often cannot proceed unless the customer can raise substantial funds, from either governmental or private sources. As a result, our expected revenues can be adversely affected by political developments or by conditions in private and public capital markets. They can also be adversely affected if capital markets are not receptive to a customer’s proposed business plans. If our customers are unable to raise adequate funds it could materially harm our business and impair the value of our common stock.</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w:t>
      </w:r>
    </w:p>
    <w:p>
      <w:pPr>
        <w:spacing w:after="0" w:line="121" w:lineRule="exact"/>
        <w:rPr>
          <w:sz w:val="20"/>
          <w:szCs w:val="20"/>
          <w:color w:val="auto"/>
        </w:rPr>
      </w:pPr>
    </w:p>
    <w:p>
      <w:pPr>
        <w:ind w:right="140" w:firstLine="222"/>
        <w:spacing w:after="0" w:line="270" w:lineRule="auto"/>
        <w:rPr>
          <w:sz w:val="20"/>
          <w:szCs w:val="20"/>
          <w:color w:val="auto"/>
        </w:rPr>
      </w:pPr>
      <w:r>
        <w:rPr>
          <w:rFonts w:ascii="Arial" w:cs="Arial" w:eastAsia="Arial" w:hAnsi="Arial"/>
          <w:sz w:val="17"/>
          <w:szCs w:val="17"/>
          <w:color w:val="auto"/>
        </w:rPr>
        <w:t>We are often party to government and commercial contracts involving the development of new products. We derived approximately 20% of our revenues in fiscal year 2008, 24% of our revenues in fiscal year 2007 and 25% of our revenues in fiscal year 2006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the past, when we have not complied with the performance obligations or project milestones in a contract, generally, the other party has not elected to terminate the contract or seek damages from us. However, we cannot assure you in the future other parties will not terminate their contracts or seek damages from us. If other parties elect to terminate their contracts or seek damages from us, it could materially harm our business and impair the value of our common stock.</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right="160"/>
        <w:spacing w:after="0" w:line="282" w:lineRule="auto"/>
        <w:rPr>
          <w:sz w:val="20"/>
          <w:szCs w:val="20"/>
          <w:color w:val="auto"/>
        </w:rPr>
      </w:pPr>
      <w:r>
        <w:rPr>
          <w:rFonts w:ascii="Arial" w:cs="Arial" w:eastAsia="Arial" w:hAnsi="Arial"/>
          <w:sz w:val="18"/>
          <w:szCs w:val="18"/>
          <w:b w:val="1"/>
          <w:bCs w:val="1"/>
          <w:color w:val="auto"/>
        </w:rPr>
        <w:t>Our Success Depends on the Investment in and Development of New Satellite and Other Wireless Communications Products and Our Ability to Gain Acceptance of These Products</w:t>
      </w:r>
    </w:p>
    <w:p>
      <w:pPr>
        <w:spacing w:after="0" w:line="58"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The wireless and satellite communications markets are subject to rapid technological change, frequent new and enhanced product introductions, product obsolescence and changes in user requirements. Our ability to compete successfully in these markets depends on our success in applying our expertise and technology to existing and emerging satellite and other wireless communications markets. Our ability to compete in these markets also depends in large part on our ability to successfully develop, introduce and sell new products and enhancements on a timely and cost-effective basis that respond to ever-changing customer requirements. Our ability to successfully introduce new products depends on several factors, including:</w:t>
      </w:r>
    </w:p>
    <w:p>
      <w:pPr>
        <w:spacing w:after="0" w:line="64"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successful integration of various elements of our complex technologies and system architectures,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timely completion and introduction of new product designs,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achievement of acceptable product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timely and efficient implementation of our manufacturing and assembly processes and cost reduction efforts,</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establishment of close working relationships with major customers for the design of their new wireless communications systems incorporating our products,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 of competitive products and technologies by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marketing and pricing strategies of our competitors with respect to competitive products,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market acceptance of our new products.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cannot assure you our product or technology development efforts for communications products will be successful or any new products and technologies we develop, will achieve sufficient market acceptance. We may experience difficulties that could delay or prevent us from successfully selecting, developing, manufacturing or marketing new products or enhancements. In addition, defects may be found in our products after we begin deliveries that could result in the delay or loss of market acceptance. If we are unable to design, manufacture, integrate and market profitable new products for existing or emerging communications markets, it could materially harm our business and impair the value of our common stock.</w:t>
      </w:r>
    </w:p>
    <w:p>
      <w:pPr>
        <w:spacing w:after="0" w:line="64"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In addition, we believe that significant investments in next generation broadband satellites and associated infrastructure will be required for satellite based technologies to compete more effectively with terrestrial based technologies in the consumer and enterprise markets. We are constantly evaluating the opportunities and investments related to the development of these next generation broadband systems. In the event we determine to make a significant investment in the development of such next generation systems, it may require us to undertake debt financing and/or the issuance of additional equity, which could expose us to increased risks and impair the value of our common stock. In addition, if we are unable to effectively or profitably design, manufacture, integrate and market such next generation technologies, it could materially harm our business and impair the value of our common stock.</w:t>
      </w:r>
    </w:p>
    <w:p>
      <w:pPr>
        <w:spacing w:after="0" w:line="161" w:lineRule="exact"/>
        <w:rPr>
          <w:sz w:val="20"/>
          <w:szCs w:val="20"/>
          <w:color w:val="auto"/>
        </w:rPr>
      </w:pPr>
    </w:p>
    <w:p>
      <w:pPr>
        <w:ind w:left="240" w:right="80"/>
        <w:spacing w:after="0" w:line="282"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58"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reduced sales opportunities, loss of revenue and market share, increased service and warranty costs, diversion of development resources, legal actions by our customers, and increased insurance costs.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May Experience Losses from Our Fixed-Price Contracts</w:t>
      </w:r>
    </w:p>
    <w:p>
      <w:pPr>
        <w:spacing w:after="0" w:line="121" w:lineRule="exact"/>
        <w:rPr>
          <w:sz w:val="20"/>
          <w:szCs w:val="20"/>
          <w:color w:val="auto"/>
        </w:rPr>
      </w:pPr>
    </w:p>
    <w:p>
      <w:pPr>
        <w:ind w:right="100" w:firstLine="215"/>
        <w:spacing w:after="0" w:line="272" w:lineRule="auto"/>
        <w:rPr>
          <w:sz w:val="20"/>
          <w:szCs w:val="20"/>
          <w:color w:val="auto"/>
        </w:rPr>
      </w:pPr>
      <w:r>
        <w:rPr>
          <w:rFonts w:ascii="Arial" w:cs="Arial" w:eastAsia="Arial" w:hAnsi="Arial"/>
          <w:sz w:val="17"/>
          <w:szCs w:val="17"/>
          <w:color w:val="auto"/>
        </w:rPr>
        <w:t>Approximately 86% of our revenues in fiscal year 2008, 84% of our revenues in fiscal years 2007, and 88% of our revenues in 2006 were derived from government and commercial contracts with fixed prices.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 price contracts. We believe a high percentage of our contracts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and impair the value of our common stock.</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Reliance on a Limited Number of Third Parties to Manufacture and Supply Our Products Exposes Us to Various Risks</w:t>
      </w:r>
    </w:p>
    <w:p>
      <w:pPr>
        <w:spacing w:after="0" w:line="121" w:lineRule="exact"/>
        <w:rPr>
          <w:sz w:val="20"/>
          <w:szCs w:val="20"/>
          <w:color w:val="auto"/>
        </w:rPr>
      </w:pPr>
    </w:p>
    <w:p>
      <w:pPr>
        <w:ind w:right="380" w:firstLine="225"/>
        <w:spacing w:after="0" w:line="312" w:lineRule="auto"/>
        <w:rPr>
          <w:sz w:val="20"/>
          <w:szCs w:val="20"/>
          <w:color w:val="auto"/>
        </w:rPr>
      </w:pPr>
      <w:r>
        <w:rPr>
          <w:rFonts w:ascii="Arial" w:cs="Arial" w:eastAsia="Arial" w:hAnsi="Arial"/>
          <w:sz w:val="16"/>
          <w:szCs w:val="16"/>
          <w:color w:val="auto"/>
        </w:rPr>
        <w:t>Our internal manufacturing capacity is limited and we do not intend to expand our capability in the foreseeable future. We rely on a limited number of contract manufacturers to produce our products and expect to rely increasingly on these manufacturers in the future. In addition, some components, subassemblies and services necessary for the manufacture of our products are obtained from a sole supplier or a limited group of suppliers.</w:t>
      </w:r>
    </w:p>
    <w:p>
      <w:pPr>
        <w:spacing w:after="0" w:line="39"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Our reliance on contract manufacturers and on sole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If we are not able to obtain timely deliveries of components and subassemblies of acceptable quality or if we are otherwise required to seek alternative sources of supply, or to manufacture our finished products or components and subassemblies internally, it could delay or prevent us from delivering our systems promptly and at high quality. This failure could damage relationships with current or prospective customers, which, in turn, could materially harm our business and impair the value of our common stock.</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Markets We Serve Are Highly Competitive and Our Competitors May Have Greater Resources Than Us</w:t>
      </w:r>
    </w:p>
    <w:p>
      <w:pPr>
        <w:spacing w:after="0" w:line="121" w:lineRule="exact"/>
        <w:rPr>
          <w:sz w:val="20"/>
          <w:szCs w:val="20"/>
          <w:color w:val="auto"/>
        </w:rPr>
      </w:pPr>
    </w:p>
    <w:p>
      <w:pPr>
        <w:ind w:right="100" w:firstLine="222"/>
        <w:spacing w:after="0" w:line="271" w:lineRule="auto"/>
        <w:rPr>
          <w:sz w:val="20"/>
          <w:szCs w:val="20"/>
          <w:color w:val="auto"/>
        </w:rPr>
      </w:pPr>
      <w:r>
        <w:rPr>
          <w:rFonts w:ascii="Arial" w:cs="Arial" w:eastAsia="Arial" w:hAnsi="Arial"/>
          <w:sz w:val="17"/>
          <w:szCs w:val="17"/>
          <w:color w:val="auto"/>
        </w:rPr>
        <w:t>The wireless and satellite communications industry is highly competitive and competition is increasing. In addition, because the markets in which we operate are constantly evolving and characterized by rapid technological change, it is difficult for us to predict whether, when and who may introduce new competing technologies, products or services into our markets. Currently, we face substantial competition from domestic and international wireless and ground-based communications service providers in the commercial and government industries. Many of our competitors and potential competitors have significant competitive advantages, including strong customer relationships, more experience with regulatory compliance, greater financial and management resources, and control over central communications networks. In addition, some of our customers continuously evaluate whether to develop and manufacture their own products and could elect to compete with us at any time. Increased competition from any of these or other entities could materially harm our business and impair the value of our common stock.</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121"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Chairman and Chief Executive Officer, Mark D.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We do not have employment agreements with any of our officers.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right="360"/>
        <w:spacing w:after="0" w:line="282" w:lineRule="auto"/>
        <w:rPr>
          <w:sz w:val="20"/>
          <w:szCs w:val="20"/>
          <w:color w:val="auto"/>
        </w:rPr>
      </w:pPr>
      <w:r>
        <w:rPr>
          <w:rFonts w:ascii="Arial" w:cs="Arial" w:eastAsia="Arial" w:hAnsi="Arial"/>
          <w:sz w:val="18"/>
          <w:szCs w:val="18"/>
          <w:b w:val="1"/>
          <w:bCs w:val="1"/>
          <w:color w:val="auto"/>
        </w:rPr>
        <w:t>Because We Conduct Business Internationally, We Face Additional Risks Related to Global Political and Economic Conditions and Currency Fluctuations</w:t>
      </w:r>
    </w:p>
    <w:p>
      <w:pPr>
        <w:spacing w:after="0" w:line="58"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Approximately 18% of our revenues in fiscal year 2008, 16% of our revenues in fiscal year 2007 and 18% of our revenues in fiscal year 2006 were derived from international sales. We anticipate international sales will account for an increasing percentage of our revenues over the next several years. Many of these international sales may be denominated in foreign currencies. Because we do not currently engage in nor do we anticipate engaging in material foreign currency hedging 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are additional risks in conducting business internationally, including:</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increased cost of localizing systems in foreign countries,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increased sales and marketing and research and development expenses,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availability of suitable export financing,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timing and availability of export licenses,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tariffs and other trade barriers,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political and economic instability,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challenges in staffing and managing foreign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difficulties in managing distributors,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potentially adverse tax consequences,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potential difficulty in making adequate payment arrangements,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potential difficulty in collecting accounts receivable.</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Operating Results are Difficult to Predict and the Market Price of Our Common Stock May Be Volatile</w:t>
      </w:r>
    </w:p>
    <w:p>
      <w:pPr>
        <w:spacing w:after="0" w:line="121"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The factors that cause our quarter-to-quarter operating results to be unpredictable include:</w:t>
      </w:r>
    </w:p>
    <w:p>
      <w:pPr>
        <w:spacing w:after="0" w:line="62"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complex and lengthy procurement process for most of our customers or potential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changes in the levels of research and development spending, including the effects of associated tax credits,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cost overruns on fixed price development contracts,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difficulty in estimating costs over the life of a contract, which may require adjustment in future periods,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timing, quantity and mix of products and services sold,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price discounts given to some customers,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market acceptance and the timing of availability of our new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timing of customer payments for significant contracts,</w:t>
      </w:r>
    </w:p>
    <w:p>
      <w:pPr>
        <w:spacing w:after="0" w:line="130"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one time charges to operating income arising from items such as acquisition expenses, impairment of assets and write-offs of assets related to customer non-payments or obsolescence,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failure to receive an expected order or a deferral of an order to a later period,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general economic and political conditions.</w:t>
      </w:r>
    </w:p>
    <w:p>
      <w:pPr>
        <w:spacing w:after="0" w:line="117" w:lineRule="exact"/>
        <w:rPr>
          <w:sz w:val="20"/>
          <w:szCs w:val="20"/>
          <w:color w:val="auto"/>
        </w:rPr>
      </w:pPr>
    </w:p>
    <w:p>
      <w:pPr>
        <w:ind w:right="80" w:firstLine="215"/>
        <w:spacing w:after="0" w:line="293" w:lineRule="auto"/>
        <w:rPr>
          <w:sz w:val="20"/>
          <w:szCs w:val="20"/>
          <w:color w:val="auto"/>
        </w:rPr>
      </w:pPr>
      <w:r>
        <w:rPr>
          <w:rFonts w:ascii="Arial" w:cs="Arial" w:eastAsia="Arial" w:hAnsi="Arial"/>
          <w:sz w:val="16"/>
          <w:szCs w:val="16"/>
          <w:color w:val="auto"/>
        </w:rPr>
        <w:t>Any of the foregoing factors, or any other factors discussed elsewhere herein, could have a material adverse effect on our business, results of operations, and financial condition that could adversely affect our stock price. In addition, public stock markets have experienced, and may in the future experience, extreme price and trading volume volatility, particularly in the technology sectors of the market. This volatility has significantly affected the market prices of securities of many companies for reasons frequently unrelated to or disproportionately impacted by the operating performance of these companies. These broad market fluctuations may adversely affect the market price of our common stock. In addition, it is likely that in one or more future quarters our results may fall below the expectations of analysts and investors. In this event, the trading price of our common stock would likely decrease.</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Reliance on U.S. Government Contracts Exposes Us to Significant Risks</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Our government systems segment revenues were approximately 56% of our revenues in fiscal year 2008, 54% of our revenues in fiscal year 2007 and 50% of our revenues in fiscal year 2006, and were derived from U.S. government applications. Our U.S. government business will continue to represent a significant portion of our revenues for the foreseeable future. U.S. government business exposes us to various risks, including:</w:t>
      </w:r>
    </w:p>
    <w:p>
      <w:pPr>
        <w:spacing w:after="0" w:line="57"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unexpected contract or project terminations or suspensions,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unpredictable order placements, reductions or cancellations,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reductions in government funds available for our projects due to government policy changes, budget cuts and contract adjustments,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of competitors to protest contractual awards,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penalties arising from post-award contract audits,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reduction in the value of our contracts as a result of the routine audit and investigation of our costs by U.S. government agencies,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limited profitability from cost-reimbursement contracts under which the amount of profit is limited to a specified amount, and</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unpredictable cash collections of unbilled receivables that may be subject to acceptance of contract deliverables by the customer and contract close-out procedures, including government approval of final indirect rates.</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addition, 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Credit Facility Contains Restrictions that Could Limit Our Ability to Implement Our Business Plan</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restrictions contained in our line of credit may limit our ability to implement our business plan, finance future operations, respond to changing business and economic conditions, secure additional financing, and engage in opportunistic transactions, such as strategic acquisitions. In addition, if we fail to meet the covenants contained in our line of credit, our ability to borrow under our line of credit may be restricted. The line of credit, among other things, restricts our ability to do the following:</w:t>
      </w:r>
    </w:p>
    <w:p>
      <w:pPr>
        <w:spacing w:after="0" w:line="79"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create liens on our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make certain payments, including payments of dividends in respect of capital stock,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consolidate, merge and sell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engage in certain transactions with affiliates,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make acquisitions.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the line of credit requires us to satisfy the following financial tests:</w:t>
      </w:r>
    </w:p>
    <w:p>
      <w:pPr>
        <w:spacing w:after="0" w:line="117" w:lineRule="exact"/>
        <w:rPr>
          <w:sz w:val="20"/>
          <w:szCs w:val="20"/>
          <w:color w:val="auto"/>
        </w:rPr>
      </w:pPr>
    </w:p>
    <w:p>
      <w:pPr>
        <w:ind w:left="660" w:right="26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minimum EBITDA (income from operations plus depreciation and amortization) for the twelve-month period ending on the last day of any fiscal quarter of $30 million,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minimum tangible net worth as of the last day of any fiscal quarter of $135 million, and</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minimum quick ratio (sum of cash and cash equivalents, accounts receivable and marketable securities, divided by current liabilities) as of the last day of any fiscal quarter of 1.50 to 1.00.</w:t>
      </w:r>
    </w:p>
    <w:p>
      <w:pPr>
        <w:spacing w:after="0" w:line="62"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In the past we have violated our credit facility covenants and received waivers for these violations. We cannot assure that we will be able to comply with our financial or other covenants or that any covenant violations will be waived in the future. Any violation not waived could result in an event of default, permitting the lenders to suspend commitments to make any advance, to declare notes and interest thereon due and payable, and to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we may need additional financing in order to service or extinguish our indebtedness. We may not be able to obtain financing or refinancing on terms acceptable to us, if at all.</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Recent Disruptions in the Financial Markets Could Affect Our Ability to Obtain Debt or Equity Financing On Reasonable Terms, or At All</w:t>
      </w:r>
    </w:p>
    <w:p>
      <w:pPr>
        <w:spacing w:after="0" w:line="133"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We may wish to refinance our existing credit facility or raise capital to finance business expansion activities, and our ability to raise debt or equity capital in the public or private markets could be impaired by various factors. For example, U.S. credit markets have recently experienced significant dislocations and liquidity disruptions which have caused the spreads on prospective debt financings to widen considerably. These circumstances have materially impacted liquidity in the debt markets, making financing terms for borrowers less attractive, and in certain cases have resulted in the unavailability of certain types of debt financing. Continued uncertainty in the credit markets may negatively impact our ability to access additional debt financing or to refinance existing indebtedness on favorable terms, or at all. These events in the credit markets have also had an adverse effect on other financial markets in the U.S., which may make it more difficult or costly for us to raise capital through the issuance of common stock, preferred stock or other equity securities. Any of these risks could impair our ability to fund our operations or limit our ability to expand our business, which could have a material adverse effect on our financial results.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Incur Research and Development Costs, Which Could Significantly Reduce Our Profitability</w:t>
      </w:r>
    </w:p>
    <w:p>
      <w:pPr>
        <w:spacing w:after="0" w:line="121" w:lineRule="exact"/>
        <w:rPr>
          <w:sz w:val="20"/>
          <w:szCs w:val="20"/>
          <w:color w:val="auto"/>
        </w:rPr>
      </w:pPr>
    </w:p>
    <w:p>
      <w:pPr>
        <w:ind w:right="260" w:firstLine="225"/>
        <w:spacing w:after="0" w:line="288" w:lineRule="auto"/>
        <w:rPr>
          <w:sz w:val="20"/>
          <w:szCs w:val="20"/>
          <w:color w:val="auto"/>
        </w:rPr>
      </w:pPr>
      <w:r>
        <w:rPr>
          <w:rFonts w:ascii="Arial" w:cs="Arial" w:eastAsia="Arial" w:hAnsi="Arial"/>
          <w:sz w:val="16"/>
          <w:szCs w:val="16"/>
          <w:color w:val="auto"/>
        </w:rPr>
        <w:t>Our future growth depends on penetrating new markets, adapting existing communications products to new applications, and introducing new communications products that achieve market acceptance. Accordingly, we are actively applying our communications expertise to design and develop new hardware and software products and enhance existing products. We spent $32.3 million in fiscal year 2008, $21.6 million in fiscal year 2007 and</w:t>
      </w:r>
    </w:p>
    <w:p>
      <w:pPr>
        <w:ind w:right="160"/>
        <w:spacing w:after="0" w:line="271" w:lineRule="auto"/>
        <w:rPr>
          <w:sz w:val="20"/>
          <w:szCs w:val="20"/>
          <w:color w:val="auto"/>
        </w:rPr>
      </w:pPr>
      <w:r>
        <w:rPr>
          <w:rFonts w:ascii="Arial" w:cs="Arial" w:eastAsia="Arial" w:hAnsi="Arial"/>
          <w:sz w:val="17"/>
          <w:szCs w:val="17"/>
          <w:color w:val="auto"/>
        </w:rPr>
        <w:t>$15.8 million in fiscal year 2006 in research and development activities. We expect to continue to spend discretionary funds on research and development in the near future. The amount of funds spent on research and development projects is dependent on the amount and mix of customer funded development, the types of technology being developed and the affordability of the technology being developed. Because we account for research and development as an operating expense, these expenditures will adversely affect our earnings in the near future. Our research and development program may not produce successful results, which could materially harm our business and impair the value of our common stock.</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121"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Our success depends significantly on our ability to protect our proprietary rights to the technologies we use in our products and services. If we are unable to protect our proprietary rights adequately, our competitors could use the intellectual property we have developed to enhance their own products and services, which could materially harm our business and impair the value of our common stock. We generally rely on a combination of copyrights, patents, trademarks and trade secret laws and restrictions on disclosure to protect our intellectual property rights. We also enter into confidentiality or license agreements with our employees, consultants and corporate partners, and control access to and distribution of our proprietary information. Despite our efforts to protect our proprietary rights, unauthorized parties may attempt to copy or otherwise obtain and use our products or technology. Monitoring unauthorized use of our technology is difficult, and we do not know whether the steps we have taken will prevent unauthorized use of our technology, particularly in foreign countries where the laws may not protect our proprietary rights as extensively as in the United States. While we are not dependent on any individual patents, if we are unable to protect our proprietary rights, we may find ourselves at a competitive disadvantage to others who need not incur the substantial expense, time and effort required to create the innovative products. Also, we have delivered certain technical data and information to the U.S. government under procurement contracts, and it may have unlimited rights to use that technical data and information. There can be no assurance that the U.S. government will not authorize others to use that data and information to compete with us.</w:t>
      </w:r>
    </w:p>
    <w:p>
      <w:pPr>
        <w:spacing w:after="0" w:line="176" w:lineRule="exact"/>
        <w:rPr>
          <w:sz w:val="20"/>
          <w:szCs w:val="20"/>
          <w:color w:val="auto"/>
        </w:rPr>
      </w:pPr>
    </w:p>
    <w:p>
      <w:pPr>
        <w:ind w:left="240" w:right="20"/>
        <w:spacing w:after="0" w:line="282" w:lineRule="auto"/>
        <w:rPr>
          <w:sz w:val="20"/>
          <w:szCs w:val="20"/>
          <w:color w:val="auto"/>
        </w:rPr>
      </w:pPr>
      <w:r>
        <w:rPr>
          <w:rFonts w:ascii="Arial" w:cs="Arial" w:eastAsia="Arial" w:hAnsi="Arial"/>
          <w:sz w:val="18"/>
          <w:szCs w:val="18"/>
          <w:b w:val="1"/>
          <w:bCs w:val="1"/>
          <w:color w:val="auto"/>
        </w:rPr>
        <w:t>We May be Subject to Intellectual Property Infringement Claims That are Costly and Time Consuming to Defend and Could Restrict Our Ability to Conduct Business</w:t>
      </w:r>
    </w:p>
    <w:p>
      <w:pPr>
        <w:spacing w:after="0" w:line="58"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Litigation may often be necessary to protect our intellectual property rights and trade secrets, to determine the validity and scope of the proprietary rights of others or to defend against claims of infringement or invalidity. We believe infringement, invalidity, right to use or ownership claims by third parties or claims for indemnification resulting from infringement claims will likely be asserted against us in the future. The asserted claims or initiated litigation can include claims against us or our manufacturers, suppliers or customers alleging infringement of their proprietary rights with respect to our existing or future products, or components of those products. Regardless of the merit of these claims, intellectual property litigation can be time consuming and result in costly litigation and diversion of technical and management personnel. Any such litigation could force us to stop selling, incorporating or using our products that include the challenged intellectual property, or redesign those products that use the technology. In addition, if a party accuses us of infringing upon its proprietary rights, we may have to enter into royalty or licensing agreements, which may not be available on terms acceptable to us, if at all. If we are unsuccessful in any such litigation, we could be subject to significant liability for damages and loss of our proprietary rights. Any of these results could have a material adverse effect on our business, financial condition and results of operations. If our products are found to infringe upon the rights of third parties, we may be forced to incur substantial costs to develop alternative products. We cannot assure you we would be able to develop alternative products or, if these alternative products were developed, they would perform as required or be accepted in the applicable markets.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Rely on the Availability of Third Party Licenses</w:t>
      </w:r>
    </w:p>
    <w:p>
      <w:pPr>
        <w:spacing w:after="0" w:line="121"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and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Financial Accounting Standards Related to Stock Option Expenses Have a Significant Effect on Our Reported Results</w:t>
      </w:r>
    </w:p>
    <w:p>
      <w:pPr>
        <w:spacing w:after="0" w:line="121"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Financial Accounting Standards Board (FASB) issued a revised standard that requires that we record compensation expense in the statement of operations for employee stock options using the fair value method. The adoption of the new standard from the beginning of fiscal year 2007 has had and will continue to have a significant effect on our reported earnings and could adversely impact our ability to provide accurate guidance on our future reported financial results due to the variability of the factors used to establish the value of stock options. As a result, the adoption of the new standard in fiscal year 2007 could impair the value of our common stock and result in greater stock price volatility.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Any Failure to Successfully Integrate Strategic Acquisitions Could Adversely Affect Our Business</w:t>
      </w:r>
    </w:p>
    <w:p>
      <w:pPr>
        <w:spacing w:after="0" w:line="121"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In order to position ourselves to take advantage of growth opportunities, we have made, and may continue to make, strategic acquisitions that involve significant risks and uncertainties. These risks and uncertainties include:</w:t>
      </w:r>
    </w:p>
    <w:p>
      <w:pPr>
        <w:spacing w:after="0" w:line="62"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difficulty in integrating newly-acquired businesses and operations in an efficient and effective manner,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the risk our markets do not evolve as anticipated and the technologies acquired do not prove to be those needed to be successful in those markets,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potential loss of key employees of the acquired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risk of diverting the attention of senior management from the operations of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risks of entering markets in which we have less experience, and</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risks of potential disputes concerning indemnities and other obligations that could result in substantial costs and further divert management’s attention and resources.</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Furthermore, to complete future acquisitions we may issue equity securities, incur debt, assume contingent liabilities or have amortization expenses and write-downs of acquired assets, which could cause our earnings per share to decline. Mergers and acquisitions are inherently risky and subject to many factors outside of our control, and we cannot be certain that our previous or future acquisitions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174" w:lineRule="exact"/>
        <w:rPr>
          <w:sz w:val="20"/>
          <w:szCs w:val="20"/>
          <w:color w:val="auto"/>
        </w:rPr>
      </w:pPr>
    </w:p>
    <w:p>
      <w:pPr>
        <w:ind w:left="240" w:right="160"/>
        <w:spacing w:after="0" w:line="282" w:lineRule="auto"/>
        <w:rPr>
          <w:sz w:val="20"/>
          <w:szCs w:val="20"/>
          <w:color w:val="auto"/>
        </w:rPr>
      </w:pPr>
      <w:r>
        <w:rPr>
          <w:rFonts w:ascii="Arial" w:cs="Arial" w:eastAsia="Arial" w:hAnsi="Arial"/>
          <w:sz w:val="18"/>
          <w:szCs w:val="18"/>
          <w:b w:val="1"/>
          <w:bCs w:val="1"/>
          <w:color w:val="auto"/>
        </w:rPr>
        <w:t>Exports of Our Defense Products are Subject to the International Traffic in Arms Regulations and Require a License from the U.S. Department of State Prior to Shipment</w:t>
      </w:r>
    </w:p>
    <w:p>
      <w:pPr>
        <w:spacing w:after="0" w:line="58"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must comply with the United States Export Administration Regulations and the International Traffic in Arms Regulations, or ITAR. Our products that have military or strategic applications are on the munitions list of the ITAR and require an individual validated license in order to be exported to certain jurisdictions. Any changes in export regulations may further restrict the export of our products, and we may cease to be able to procure export licenses for our products under existing regulations. The length of time required by the licensing process can vary, potentially delaying the shipment of products and the recognition of the corresponding revenue. Any restriction on the export of a significant product line or a significant amount of our products could cause a significant reduction in net sales.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Adverse Regulatory Changes Could Impair Our Ability to Sell Products</w:t>
      </w:r>
    </w:p>
    <w:p>
      <w:pPr>
        <w:spacing w:after="0" w:line="121" w:lineRule="exact"/>
        <w:rPr>
          <w:sz w:val="20"/>
          <w:szCs w:val="20"/>
          <w:color w:val="auto"/>
        </w:rPr>
      </w:pPr>
    </w:p>
    <w:p>
      <w:pPr>
        <w:jc w:val="both"/>
        <w:ind w:right="540" w:firstLine="225"/>
        <w:spacing w:after="0" w:line="259" w:lineRule="auto"/>
        <w:rPr>
          <w:sz w:val="20"/>
          <w:szCs w:val="20"/>
          <w:color w:val="auto"/>
        </w:rPr>
      </w:pPr>
      <w:r>
        <w:rPr>
          <w:rFonts w:ascii="Arial" w:cs="Arial" w:eastAsia="Arial" w:hAnsi="Arial"/>
          <w:sz w:val="18"/>
          <w:szCs w:val="18"/>
          <w:color w:val="auto"/>
        </w:rPr>
        <w:t>Our products are incorporated into wireless communications systems that must comply with various domestic and foreign government regulations, including those of the FCC. In addition, we operate and provide services to customers through the use of several satellite earth hub stations, which are licensed by regulatory authorities such as the FCC. Regulatory changes, including changes in the allocation of available frequency spectrum and in the military standards and specifications that define the current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satellite networking environment, could materially harm our business by (1) restricting development efforts by us and our customers, (2) making our current products less attractive or obsolete, or (3) increasing the opportunity for additional competition. Changes in, or our failure to comply with, applicable regulations could materially harm our business and impair the value of our common stock. In addition, the increasing demand for wireless communications has exerted pressure on regulatory bodies worldwide to adopt new standards for these products and services, generally following extensive investigation of and deliberation over competing technologies. The delays inherent in this government approval process have caused and may continue to cause our customers to cancel, postpone or reschedule their installation of communications systems. This, in turn, may have a material adverse effect on our sales of products to our customers.</w:t>
      </w:r>
    </w:p>
    <w:p>
      <w:pPr>
        <w:spacing w:after="0" w:line="185" w:lineRule="exact"/>
        <w:rPr>
          <w:sz w:val="20"/>
          <w:szCs w:val="20"/>
          <w:color w:val="auto"/>
        </w:rPr>
      </w:pPr>
    </w:p>
    <w:p>
      <w:pPr>
        <w:ind w:left="240" w:right="180"/>
        <w:spacing w:after="0" w:line="282" w:lineRule="auto"/>
        <w:rPr>
          <w:sz w:val="20"/>
          <w:szCs w:val="20"/>
          <w:color w:val="auto"/>
        </w:rPr>
      </w:pPr>
      <w:r>
        <w:rPr>
          <w:rFonts w:ascii="Arial" w:cs="Arial" w:eastAsia="Arial" w:hAnsi="Arial"/>
          <w:sz w:val="18"/>
          <w:szCs w:val="18"/>
          <w:b w:val="1"/>
          <w:bCs w:val="1"/>
          <w:color w:val="auto"/>
        </w:rPr>
        <w:t>Our Executive Officers and Directors Own a Large Percentage of Our Common Stock and Exert Significant Influence Over Matters Requiring Stockholder Approval</w:t>
      </w:r>
    </w:p>
    <w:p>
      <w:pPr>
        <w:spacing w:after="0" w:line="58"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As of May 20, 2008, our executive officers and directors and their affiliates beneficially owned an aggregate of approximately 16% of our common stock. Accordingly, these stockholders may be able to influence substantially all matters requiring approval by our stockholders, including the election of directors and the approval of mergers or other business combination transactions. Circumstances may arise in which the interests of these stockholders could conflict with the interests of our other stockholders. These stockholders could delay or prevent a change in control of our company even if such a transaction would be beneficial to our other stockholders.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Have Implemented Anti-Takeover Provisions That Could Prevent an Acquisition of Our Business at a Premium Price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Some of the provisions of our certificate of incorporation and bylaws could discourage, delay or prevent an acquisition of our business at a premium price.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w:t>
      </w:r>
    </w:p>
    <w:p>
      <w:pPr>
        <w:spacing w:after="0" w:line="103"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permit the Board of Directors to increase its own size and fill the resulting vacancies,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authorize the issuance of preferred stock in one or more series,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prohibit stockholder action by written consent.</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 addition, Section 203 of the Delaware General Corporation Law imposes restrictions on mergers and other business combinations between us and any holder of 15% or more of our common stock.</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121" w:lineRule="exact"/>
        <w:rPr>
          <w:sz w:val="20"/>
          <w:szCs w:val="20"/>
          <w:color w:val="auto"/>
        </w:rPr>
      </w:pPr>
    </w:p>
    <w:p>
      <w:pPr>
        <w:jc w:val="both"/>
        <w:ind w:right="60" w:firstLine="222"/>
        <w:spacing w:after="0" w:line="259" w:lineRule="auto"/>
        <w:rPr>
          <w:sz w:val="20"/>
          <w:szCs w:val="20"/>
          <w:color w:val="auto"/>
        </w:rPr>
      </w:pPr>
      <w:r>
        <w:rPr>
          <w:rFonts w:ascii="Arial" w:cs="Arial" w:eastAsia="Arial" w:hAnsi="Arial"/>
          <w:sz w:val="18"/>
          <w:szCs w:val="18"/>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operating results and financial condition. For additional information regarding litigation in which we are involved, see Item 3, “Legal Proceedings,” contained in Part I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Our worldwide headquarters are located at our Carlsbad, California campus, consisting of approximately 380,000 square feet, under leases expiring between 2008 and 2020. In addition to our Carlsbad campus, we have facilities consisting of (1) approximately 20,000 square feet in San Diego, California under a lease expiring in 2015, (2) approximately 146,000 square feet in Duluth, Georgia under a lease expiring in 2016, (3) approximately 45,000 square feet in Germantown, Maryland with a lease expiring in 2011, (4) approximately 34,000 square feet in Gilbert, Arizona under a lease expiring in 2012 and</w:t>
      </w:r>
    </w:p>
    <w:p>
      <w:pPr>
        <w:spacing w:after="0" w:line="2" w:lineRule="exact"/>
        <w:rPr>
          <w:sz w:val="20"/>
          <w:szCs w:val="20"/>
          <w:color w:val="auto"/>
        </w:rPr>
      </w:pPr>
    </w:p>
    <w:p>
      <w:pPr>
        <w:jc w:val="both"/>
        <w:ind w:right="80" w:firstLine="8"/>
        <w:spacing w:after="0" w:line="295"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approximately 34,000 square feet in Cleveland, Ohio under a lease expiring in 2016. We also maintain offices or a sales presence in Arlington (Virginia), Linthicum Heights (Maryland), Boston (Massachusetts), Australia, China, Canada, India, Italy, Switzerland and Spain. Although we believe that our existing facilities are suitable and adequate for our present purposes, we expect to expand our Carlsbad campus to include an additional 136,000 square feet of leased space, and we anticipate operating additional regional sales offices in fiscal year 2009 and beyond. Each of our segments uses each of these facilities.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are subject to various legal proceedings, claims and litigation arising in the ordinary course of business. While the outcome of these matters is currently not determinable, we do not expect that the ultimate costs to resolve these matters will have a material adverse effect on our consolidated financial position or liquidity. However, litigation is subject to inherent uncertainties, and unfavorable rulings could occur. If an unfavorable ruling were to occur, there exists the possibility of a material adverse impact on our results of operations for the period in which the ruling occurs, or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80" w:right="540" w:hanging="769"/>
        <w:spacing w:after="0" w:line="282" w:lineRule="auto"/>
        <w:rPr>
          <w:sz w:val="20"/>
          <w:szCs w:val="20"/>
          <w:color w:val="auto"/>
        </w:rPr>
      </w:pPr>
      <w:r>
        <w:rPr>
          <w:rFonts w:ascii="Arial" w:cs="Arial" w:eastAsia="Arial" w:hAnsi="Arial"/>
          <w:sz w:val="18"/>
          <w:szCs w:val="18"/>
          <w:b w:val="1"/>
          <w:bCs w:val="1"/>
          <w:color w:val="auto"/>
        </w:rPr>
        <w:t>ITEM 5. MARKET FOR REGISTRANT’S COMMON STOCK,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“VSAT.” The following table sets forth, for the periods indicated, the range of high and low sales prices of our common stock as reported by Nasdaq.</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14"/>
                <w:szCs w:val="14"/>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Low</w:t>
            </w: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$30.83</w:t>
            </w: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$23.65</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28.21</w:t>
            </w:r>
          </w:p>
        </w:tc>
        <w:tc>
          <w:tcPr>
            <w:tcW w:w="16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22.32</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30.45</w:t>
            </w: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24.36</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36.00</w:t>
            </w:r>
          </w:p>
        </w:tc>
        <w:tc>
          <w:tcPr>
            <w:tcW w:w="16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27.88</w:t>
            </w: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Fiscal 2008</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$35.87</w:t>
            </w:r>
          </w:p>
        </w:tc>
        <w:tc>
          <w:tcPr>
            <w:tcW w:w="16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$29.61</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32.97</w:t>
            </w: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25.20</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36.49</w:t>
            </w:r>
          </w:p>
        </w:tc>
        <w:tc>
          <w:tcPr>
            <w:tcW w:w="16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28.23</w:t>
            </w:r>
          </w:p>
        </w:tc>
      </w:tr>
      <w:tr>
        <w:trPr>
          <w:trHeight w:val="230"/>
        </w:trPr>
        <w:tc>
          <w:tcPr>
            <w:tcW w:w="878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34.98</w:t>
            </w: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19.20</w:t>
            </w:r>
          </w:p>
        </w:tc>
      </w:tr>
    </w:tbl>
    <w:p>
      <w:pPr>
        <w:spacing w:after="0" w:line="79"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As of May 20, 2008 there were 899 holders of record of our common stock. A substantially greater number of holders of ViaSat common stock are “street name” or beneficial holders, whose shares are held of record by banks, brokers and other financial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subject to any applicable restrictions under our debt and credit agreements, and will be dependent upon our financial condition, results of operations, capital requirements, general business condition and such other factors as the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unregistered sales of equity securities during fiscal year 2008.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right="160" w:firstLine="222"/>
        <w:spacing w:after="0" w:line="302" w:lineRule="auto"/>
        <w:rPr>
          <w:sz w:val="20"/>
          <w:szCs w:val="20"/>
          <w:color w:val="auto"/>
        </w:rPr>
      </w:pPr>
      <w:r>
        <w:rPr>
          <w:rFonts w:ascii="Arial" w:cs="Arial" w:eastAsia="Arial" w:hAnsi="Arial"/>
          <w:sz w:val="16"/>
          <w:szCs w:val="16"/>
          <w:color w:val="auto"/>
        </w:rPr>
        <w:t>The following table provides our selected financial information for each of the fiscal years in the five-year period ended March 28, 2008. The data as of and for each of the fiscal years in the five-year period ended March 28, 2008 have been derived from our audited financial statements. You should consider the financial statement data provided below in conjunction with “Management’s Discussion and Analysis of Financial Condition and Results of Operations” and the financial statements and notes which are included elsewhere in this Annual Report. All amounts shown are 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w:t>
            </w:r>
          </w:p>
        </w:tc>
        <w:tc>
          <w:tcPr>
            <w:tcW w:w="56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9"/>
              </w:rPr>
              <w:t>March 28,</w:t>
            </w:r>
          </w:p>
        </w:tc>
        <w:tc>
          <w:tcPr>
            <w:tcW w:w="34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30,</w:t>
            </w: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April 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April 2,</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Revenues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574,650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516,566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433,823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345,939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Cost of revenues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413,520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380,092</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325,271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262,260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76,365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69,896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57,059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Independent research and development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32,273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21,631</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15,757</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8,082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acquired intangible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9,502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6,642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42,930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35,445</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28,930</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Income before income taxes and minority interest</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48,085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37,186</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28,730</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6,755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w w:val="97"/>
              </w:rPr>
              <w:t>Minority interest in net earnings of subsidiary, net of tax</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30,166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23,515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19,267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200"/>
              <w:spacing w:after="0"/>
              <w:rPr>
                <w:sz w:val="20"/>
                <w:szCs w:val="20"/>
                <w:color w:val="auto"/>
              </w:rPr>
            </w:pPr>
            <w:r>
              <w:rPr>
                <w:rFonts w:ascii="Arial" w:cs="Arial" w:eastAsia="Arial" w:hAnsi="Arial"/>
                <w:sz w:val="18"/>
                <w:szCs w:val="18"/>
                <w:color w:val="auto"/>
              </w:rPr>
              <w:t>Basic net income per share</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 per share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200"/>
              <w:spacing w:after="0"/>
              <w:rPr>
                <w:sz w:val="20"/>
                <w:szCs w:val="20"/>
                <w:color w:val="auto"/>
              </w:rPr>
            </w:pPr>
            <w:r>
              <w:rPr>
                <w:rFonts w:ascii="Arial" w:cs="Arial" w:eastAsia="Arial" w:hAnsi="Arial"/>
                <w:sz w:val="18"/>
                <w:szCs w:val="18"/>
                <w:color w:val="auto"/>
              </w:rPr>
              <w:t>Shares used in computing basic net income per share</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28,589</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27,133</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Shares used in computing diluted net income per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30,893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28,857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28,147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cash equivalents and short-term investments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125,219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103,392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36,887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14,741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248,251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187,406</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152,907</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138,859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107,846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551,094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483,939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365,069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301,825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17,290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13,273</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3,911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404,140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348,795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263,298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226,283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202,475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Net income for fiscal year 2008 and 2007 included stock-based compensation expense of approximately $7.1 million and $5.0 million, respectively, recorded under Statement of Financial Accounting Standards No. 123 (SFAS 123R), “Share-Based Payment” adopted on April 1, 2006 and upon our review of stock option grant procedures in fiscal year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36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General</w:t>
      </w:r>
    </w:p>
    <w:p>
      <w:pPr>
        <w:ind w:firstLine="222"/>
        <w:spacing w:after="0" w:line="291" w:lineRule="auto"/>
        <w:rPr>
          <w:sz w:val="20"/>
          <w:szCs w:val="20"/>
          <w:color w:val="auto"/>
        </w:rPr>
      </w:pPr>
      <w:r>
        <w:rPr>
          <w:rFonts w:ascii="Arial" w:cs="Arial" w:eastAsia="Arial" w:hAnsi="Arial"/>
          <w:sz w:val="16"/>
          <w:szCs w:val="16"/>
          <w:color w:val="auto"/>
        </w:rPr>
        <w:t>We are a leading producer of innovative satellite and other wireless communications and networking systems to government and commercial customers. Our ability to apply technologies between government and commercial customers combined with our diversification of technologies, products and customers, provides us with a strong foundation to sustain and enhance our leadership in advanced wireless communications and networking technologies. Based on our history and extensive experience in complex defense communications systems, we have developed the capability to design and implement innovative communications solutions, which enhance bandwidth utilization by applying our sophisticated networking and digital signal processing techniques. Our goal is to leverage our advanced technology and capabilities to capture a considerable share of the networking and global satellite communications equipment and services segment of the broadband communications market for both government and commercial customers.</w:t>
      </w:r>
    </w:p>
    <w:p>
      <w:pPr>
        <w:spacing w:after="0" w:line="5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internal growth to date has historically been driven largely by our success in meeting the need for advanced communications products for our government and commercial customers. By developing cost-effective communications solutions incorporating our advanced technologies, we have continued to grow the markets for our products and services.</w:t>
      </w:r>
    </w:p>
    <w:p>
      <w:pPr>
        <w:spacing w:after="0" w:line="7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fiscal year 2008, we announced a change in the composition of our segments to reflect the realignment of the organization with our recent strategic initiatives. We conduct our business through three segments: government systems, commercial networks and satellite services. Prior fiscal year information has been recast to facilitate comparisons to the newly established reportable segments.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government business encompasses specialized products principally serving defense customers and includes:</w:t>
      </w:r>
    </w:p>
    <w:p>
      <w:pPr>
        <w:spacing w:after="0" w:line="117"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Data links, including MIDS terminals, MIDS JTRS development and unmanned vehicle technologies,</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Information security and assurance products and services, which enable military and government users to communicate secure information over secure and non-secure networks, and</w:t>
      </w:r>
    </w:p>
    <w:p>
      <w:pPr>
        <w:spacing w:after="0" w:line="75"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and products, including UHF DAMA satellite communications products consisting of modems, terminals and network control systems, and innovative broadband solutions to government customers to increase available bandwidth using existing satellite capacity.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Serving government customers with cost-effective products and solutions continues to be a critical and core element of our overall business strategy.</w:t>
      </w:r>
    </w:p>
    <w:p>
      <w:pPr>
        <w:spacing w:after="0" w:line="2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commercial networks segment offers an end-to-end capability to provide customers with a broad range of satellite communication and other wireless communications equipment solutions including:</w:t>
      </w:r>
    </w:p>
    <w:p>
      <w:pPr>
        <w:spacing w:after="0" w:line="62" w:lineRule="exact"/>
        <w:rPr>
          <w:sz w:val="20"/>
          <w:szCs w:val="20"/>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Consumer broadband products and solutions to customers based on DOCSIS</w:t>
      </w:r>
      <w:r>
        <w:rPr>
          <w:rFonts w:ascii="Arial" w:cs="Arial" w:eastAsia="Arial" w:hAnsi="Arial"/>
          <w:sz w:val="15"/>
          <w:szCs w:val="15"/>
          <w:color w:val="auto"/>
        </w:rPr>
        <w:t>®</w:t>
      </w:r>
      <w:r>
        <w:rPr>
          <w:rFonts w:ascii="Arial" w:cs="Arial" w:eastAsia="Arial" w:hAnsi="Arial"/>
          <w:sz w:val="18"/>
          <w:szCs w:val="18"/>
          <w:color w:val="auto"/>
        </w:rPr>
        <w:t xml:space="preserve"> or DVB-RCS-based technology,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Mobile broadband products and systems for airborne, maritime and ground mobile broadband applications,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Enterprise VSAT networks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Antenna systems for commercial and defense applications and customers.</w:t>
      </w:r>
    </w:p>
    <w:p>
      <w:pPr>
        <w:spacing w:after="0" w:line="117"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With expertise in commercial satellite network engineering, gateway construction, and remote terminal manufacturing for all types of interactive communications services, we have the ability to take overall responsibility for designing, building, initially operating, and then handing over a fully operational, customized satellite network serving a variety of markets and applications. In addition, based on our advanced satellite technology and systems integration experience, we have developed products addressing five key broadband markets: enterprise, consumer, in-flight, maritime and ground mobile applications.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Satellite services segment encompasses three primary areas: managed broadband services, mobile broadband services and wholesale bandwidth services. For everyday enterprise networking or backup protection for primary networks, our managed broadband service provides a combination of terrestrial and satellite connections through an around-the-clock call center and network management operation to ensure customer network availability and reliable digital satellite communications. Our mobile broadband service includes network management services for our customers who utilize our Arclight-based mobile communication systems, also through our network management center. In 2008, we began construction of a high-speed Ka-band satellite in order to provide wholesale broadband services over North America. We currently plan to launch this satellite in early 2011 and introduce service later in 2011.</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To date, our ability to grow and maintain our revenues has depended on our ability to identify and target markets where the customer places a high priority on the technology solution, and obtaining additional sizable contract awards. Due to the nature of this process, it is difficult to predict the probability and timing of obtaining awards in these markets.</w:t>
      </w:r>
    </w:p>
    <w:p>
      <w:pPr>
        <w:spacing w:after="0" w:line="7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products are provided primarily through three types of contracts: fixed-price, time-and-materials and cost-reimbursement contracts. Historically, fixed-price contracts, which require us to provide products and services under a contract at a specified price, comprised approximately 86%, 84% and 88% of our revenues for fiscal years 2008, 2007 and 2006, respectively. The remainder of our annual revenue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7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Historically, a significant portion of our revenues are from contracts for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were approximately $112.2 million or 20% of our total revenues during fiscal year 2008, $122.9 million or 24% of our total revenues during fiscal year 2007, and $109.5 million or 25% of our total revenues during fiscal year 2006.</w:t>
      </w:r>
    </w:p>
    <w:p>
      <w:pPr>
        <w:spacing w:after="0" w:line="80" w:lineRule="exact"/>
        <w:rPr>
          <w:sz w:val="20"/>
          <w:szCs w:val="20"/>
          <w:color w:val="auto"/>
        </w:rPr>
      </w:pPr>
    </w:p>
    <w:p>
      <w:pPr>
        <w:ind w:right="280" w:firstLine="222"/>
        <w:spacing w:after="0" w:line="257" w:lineRule="auto"/>
        <w:rPr>
          <w:sz w:val="20"/>
          <w:szCs w:val="20"/>
          <w:color w:val="auto"/>
        </w:rPr>
      </w:pPr>
      <w:r>
        <w:rPr>
          <w:rFonts w:ascii="Arial" w:cs="Arial" w:eastAsia="Arial" w:hAnsi="Arial"/>
          <w:sz w:val="18"/>
          <w:szCs w:val="18"/>
          <w:color w:val="auto"/>
        </w:rPr>
        <w:t>We also incur independent research and development expenses, which are not directly funded by a third party. Independent research and development expenses consist primarily of salaries and other personnel-related expenses, supplies, prototype materials, testing and certification related to research and development programs. Independent research and development expenses were approximately 6% of revenues during fiscal year 2008 and 4% of revenues during fiscal years 2007 and 2006. As a government contractor, we are able to recover a portion of our independent research and development expenses pursuant to our government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240" w:firstLine="222"/>
        <w:spacing w:after="0" w:line="255" w:lineRule="auto"/>
        <w:rPr>
          <w:sz w:val="20"/>
          <w:szCs w:val="20"/>
          <w:color w:val="auto"/>
        </w:rPr>
      </w:pPr>
      <w:r>
        <w:rPr>
          <w:rFonts w:ascii="Arial" w:cs="Arial" w:eastAsia="Arial" w:hAnsi="Arial"/>
          <w:sz w:val="18"/>
          <w:szCs w:val="18"/>
          <w:color w:val="auto"/>
        </w:rPr>
        <w:t>We develop, manufacture and provide services related to satellite ground systems and other related government and commercial digital communication and networking equipment. Our products are generally highly complex and have a concept-to-market timeline of several months to several years. The development of products where customers expect state-of-the-art results requires an exceptionally talented and dedicated engineering workforce. Since inception, we have been able to attract, develop and retain engineers who support our business and customer objectives, while experiencing low turnover (relative to our industry). The consistency and depth of our engineering workforce has enabled us to develop leading edge products and solutions for our customers.</w:t>
      </w:r>
    </w:p>
    <w:p>
      <w:pPr>
        <w:spacing w:after="0" w:line="85"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Our annual awards have progressively grown from approximately $200 million to approximately $560 million over the past six years. The awards growth each of the past five years and the conversion of certain of the awards has contributed to our revenue growth.</w:t>
      </w:r>
    </w:p>
    <w:p>
      <w:pPr>
        <w:spacing w:after="0" w:line="62"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During fiscal year 2008, we completed the acquisition of all of the outstanding capital stock of JAST, S.A. (JAST), a Switzerland based, privately-held developer of microwave circuits and antennas for terrestrial and satellite applications, specializing in small, low-profile antennas for mobile satellite communications. The acquisition was accounted for as a purchase and accordingly, the consolidated financial statements include the operating results of JAST from the date of acquisition in our commercial networks segment.</w:t>
      </w:r>
    </w:p>
    <w:p>
      <w:pPr>
        <w:spacing w:after="0" w:line="7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During our fiscal years 2006 and 2007, we completed the acquisitions of Efficient Channel Coding, Inc. (ECC), Enerdyne Technologies, Inc. (Enerdyne) and Intelligent Compression Technologies, Inc. (ICT). The acquisitions were accounted for as purchases and accordingly, the operating results of ECC, Enerdyne and ICT have been included from the dates of acquisition in our consolidated financial statements.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 substantial portion of our revenues are derived from long-term contracts requiring development and delivery of products over time and often contain fixed-price purchase options for additional products. Certain of these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based on the ratio of actual costs incurred to date to total estimated costs expected to be incurred related to the contract or as products are shipped under the units-of-delivery method.</w:t>
      </w:r>
    </w:p>
    <w:p>
      <w:pPr>
        <w:spacing w:after="0" w:line="64"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Anticipated losses on contracts are recognized in full in the period in which losses become probable and estimable. In the fiscal years ended March 28, 2008, March 30, 2007 and March 31, 2006, we recorded losses of approximately $7.9 million, $4.5 million and $5.1 million, respectively, related to loss contracts.</w:t>
      </w:r>
    </w:p>
    <w:p>
      <w:pPr>
        <w:spacing w:after="0" w:line="59"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We believe that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However, a significant change in future cost estimates on one or more programs could have a material effect on our results of operations. For example, a one percent variance in our future cost estimates on open fixed-price contracts as of March 28, 2008 would change our pre-tax income by approximately $361,000.</w:t>
      </w:r>
    </w:p>
    <w:p>
      <w:pPr>
        <w:spacing w:after="0" w:line="70"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We also have contracts and customer purchase orders where revenue is recorded on delivery of products in accordance with SAB 104, “Staff Accounting Bulletin No. 104: Revenue Recognition.” In this situation, contracts and customer purchase orders are used to determine the existence of an arrangement. Shipping documents and customer acceptance, when applicable, are used to verify delivery. We assess whether the sales price is fixed or determinable based on the payment terms associated with the transaction and whether the sales price is subject to refund or adjustment, and assess collectibility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When a sale involves multiple elements, such as sales of products that include services, the entire fee from the arrangement is allocated to each respective element based on its relative fair value in accordance with Emerging Issues Task Force 00-21 (EITF 00-21), “Accounting for Multiple Element Revenue Arrangements,” and recognized when the applicable revenue recognition criteria for each element are met. The amount of product and service revenue recognized is impacted by our judgments as to whether an arrangement includes multiple elements and, if so, whether objective and reliable evidence of fair value exists for those elements. Changes to the elements in an arrangement and our ability to establish objective and reliable evidence for those elements could affect the timing of the revenue recognition.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firstLine="215"/>
        <w:spacing w:after="0" w:line="286" w:lineRule="auto"/>
        <w:rPr>
          <w:sz w:val="20"/>
          <w:szCs w:val="20"/>
          <w:color w:val="auto"/>
        </w:rPr>
      </w:pPr>
      <w:r>
        <w:rPr>
          <w:rFonts w:ascii="Arial" w:cs="Arial" w:eastAsia="Arial" w:hAnsi="Arial"/>
          <w:sz w:val="16"/>
          <w:szCs w:val="16"/>
          <w:color w:val="auto"/>
        </w:rPr>
        <w:t>At March 28, 2008, we had stock-based compensation plans described in Note 5 to the Consolidated Financial Statements. We grant options to purchase our common stock and award restricted stock units to our employees and directors under our equity compensation plans. Eligible employees can also purchase shares of our common stock at 85% of the lower of the fair market value on the first or the last day of each six-month offering period under our employee stock purchase plan. The benefits provided under these plans are stock-based payments subject to the provisions of revised Statement of Financial Accounting Standards No. 123 (SFAS 123R), “Share-Based Payment.” Effective April 1, 2006, we used the fair value method to apply the provisions of SFAS 123R with a modified prospective application which provides for certain changes to the method for estimating the value of stock-based compensation. The valuation provisions of SFAS 123R apply to new awards and to awards that are outstanding on the effective date, which are subsequently modified or cancelled. Under the modified prospective application method, prior periods are not revised for comparative purposes. Stock-based compensation expense recognized under SFAS 123R for the fiscal year ended March 28, 2008 was $3.9 million, $2.4 million and $838,000 for employee stock options (including stock options assumed in business combination), restricted stock units and the employee stock purchase plan, respectively. Stock-based compensation expense recognized under SFAS 123R for the fiscal year ended March 30, 2007 was $1.9 million, $1.2 million and $782,000 for employee stock options, restricted stock units and the employee stock purchase plan, respectively. At March 28, 2008, there was $9.3 million, $6.3 million and $257,000 in unrecognized compensation expense related to non-vested stock options, restricted stock units and the employee stock purchase plan, respectively, which is expected to be recognized over a weighted average period of 2.7 years, 2.6 years and less than six months, respectively.</w:t>
      </w:r>
    </w:p>
    <w:p>
      <w:pPr>
        <w:spacing w:after="0" w:line="64"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Upon adoption of SFAS 123R, we began estimating the value of stock option awards on the date of grant using a Black-Scholes option-pricing model (Black-Scholes model). Prior to the adoption of SFAS 123R, the value of all stock-based awards was estimated on the date of grant using the Black-Scholes model as well for the pro forma information required to be disclosed under SFAS 123. The determination of the fair value of stock-based payment awards on the date of grant using an option-pricing model is affected by our stock price as well as assumptions regarding a number of complex and subjective variables. These variables include, but are not limited to, our expected stock price volatility over the term of the awards, actual and projected employee stock option exercise behaviors, risk-free interest rate and expected dividends.</w:t>
      </w:r>
    </w:p>
    <w:p>
      <w:pPr>
        <w:spacing w:after="0" w:line="70"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If factors change and we employ different assumptions in the application of SFAS 123R in future periods, the compensation expense that we record under SFAS 123R may differ significantly from what we have recorded in the current period. Therefore, we believe it is important for investors to be aware of the high degree of subjectivity involved when using option pricing models to estimate stock-based compensation under SFAS 123R. Option-pricing models were developed for use in estimating the value of traded options that have no vesting or hedging restrictions, are fully transferable and do not cause dilution. Because our stock-based payments have characteristics significantly different from those of freely traded options, and because changes in the subjective input assumptions can materially affect our estimates of fair values, in our opinion, existing valuation models, including the Black-Scholes and lattice binomial models, may not provide reliable measures of the fair values of our stock-based compensation. Consequently, there is a risk that our estimates of the fair values of our stock-based compensation awards on the grant dates may bear little resemblance to the actual values realized upon the exercise, expiration, early termination or forfeiture of those stock-based payments in the future. Certain stock-based payments, such as employee stock options, may expire worthless or otherwise result in zero intrinsic value as compared to the fair values originally estimated on the grant date and reported in our financial statements. Alternatively, values may be realized from these instruments that are significantly in excess of the fair values originally estimated on the grant date and reported in our financial statements. There is currently no market-based mechanism or other practical application to verify the reliability and accuracy of the estimates stemming from these valuation models, nor is there a means to compare and adjust the estimates to actual values. Although the fair value of employee stock-based awards is determined in accordance with SFAS 123R, the SEC’s Staff Accounting Bulletin No. 107 (SAB 107), “Share-Based Payment” and SAB No. 110 (SAB 110), “Year-End Help For Expensing Employee Stock Options,” using an option-pricing model, that value may not be indicative of the fair value observed in a willing buyer/willing seller market transaction.</w:t>
      </w:r>
    </w:p>
    <w:p>
      <w:pPr>
        <w:spacing w:after="0" w:line="70" w:lineRule="exact"/>
        <w:rPr>
          <w:sz w:val="20"/>
          <w:szCs w:val="20"/>
          <w:color w:val="auto"/>
        </w:rPr>
      </w:pPr>
    </w:p>
    <w:p>
      <w:pPr>
        <w:ind w:right="280" w:firstLine="225"/>
        <w:spacing w:after="0" w:line="255" w:lineRule="auto"/>
        <w:rPr>
          <w:sz w:val="20"/>
          <w:szCs w:val="20"/>
          <w:color w:val="auto"/>
        </w:rPr>
      </w:pPr>
      <w:r>
        <w:rPr>
          <w:rFonts w:ascii="Arial" w:cs="Arial" w:eastAsia="Arial" w:hAnsi="Arial"/>
          <w:sz w:val="18"/>
          <w:szCs w:val="18"/>
          <w:color w:val="auto"/>
        </w:rPr>
        <w:t>Estimates of stock-based compensation expense can be significant to our financial statements, but this expense is based on option valuation models and will never result in the payment of cash by us. The guidance in SFAS 123R, SAB 107 and SAB 110 is relatively new, and best practices are not well established. The application of these principles may be subject to further interpretation and refinement over time. There are significant differences among valuation models, and there is a possibility that we will adopt different valuation models in the future. This may result in a lack of consistency in future periods and materially affect the fair value estimate of stock-based payments. It may also result in a lack of comparability with other companies that use different models, methods and assumptions.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Theoretical valuation models and market-based methods are evolving and may result in lower or higher fair value estimates for stock-based compensation. The timing, readiness, adoption, general acceptance, reliability and testing of these methods is uncertain. Sophisticated mathematical models may require voluminous historical information, modeling expertise, financial analyses, correlation analyses, integrated software and databases, consulting fees, customization and testing for adequacy of internal controls. Market-based methods are emerging that, if employed by us, may dilute our earnings per share and involve significant transaction fees and ongoing administrative expenses. The uncertainties and costs of these extensive valuation efforts may outweigh the benefits to investors.</w:t>
      </w:r>
    </w:p>
    <w:p>
      <w:pPr>
        <w:spacing w:after="0" w:line="85"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Our expected volatility is a measure of the amount by which our stock price is expected to fluctuate. The estimated volatility for stock options and employee stock purchase rights is based on the historical volatility calculated using the daily stock price of our stock over a recent historical period equal to the expected term. The risk-free interest rate that we use in determining the fair value of our stock-based awards is based on the implied yield on U.S. Treasury zero-coupon issues with remaining terms equivalent to the expected term of our stock-based awards.</w:t>
      </w:r>
    </w:p>
    <w:p>
      <w:pPr>
        <w:spacing w:after="0" w:line="63"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expected life of employee stock options represents the calculation using the “simplified” method for “plain vanilla” options applied consistently to all “plain vanilla” options, consistent with the guidance in SAB 107. In December 2007, the Securities and Exchange Commission (SEC) issued SAB110 to amend the SEC’s views discussed in SAB 107 regarding the use of the simplified method in developing an estimate of expected life of share options in accordance with SFAS 123R. Due to significant changes in our option terms in October of 2006 and lack of sufficient history, we will continue to use the simplified method until we have the historical data necessary to provide a reasonable estimate of expected life in accordance with SAB 107, as amended by SAB 110. For the expected option life, we have what SAB 107 defines as “plain-vanilla” stock options, and therefore use a simple average of the vesting period and the contractual term for options as permitted by SAB 107. The weighted average expected life of employee stock options granted during the fiscal year ended March 28, 2008, derived from the “simplified” method was 4.2 years. The expected term or life of employee stock purchase rights issued represents the expected period of time from the date of grant to the estimated date that the stock purchase right under our employee stock purchase plan would be fully exercised.</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200" w:firstLine="222"/>
        <w:spacing w:after="0" w:line="276" w:lineRule="auto"/>
        <w:rPr>
          <w:sz w:val="20"/>
          <w:szCs w:val="20"/>
          <w:color w:val="auto"/>
        </w:rPr>
      </w:pPr>
      <w:r>
        <w:rPr>
          <w:rFonts w:ascii="Arial" w:cs="Arial" w:eastAsia="Arial" w:hAnsi="Arial"/>
          <w:sz w:val="17"/>
          <w:szCs w:val="17"/>
          <w:color w:val="auto"/>
        </w:rPr>
        <w:t>We make estimates of the collectibility of our accounts receivable based on historical bad debts, customer credit-worthiness and current economic trends when evaluating the adequacy of the allowance for doubtful accounts. Historically, our bad debts have been minimal; a contributing factor to this is that a significant portion of our sales has been to the U.S. government. More recently, commercial customers comprise a larger part of our revenues. Our accounts receivable balance was $155.5 million, net of allowance for doubtful accounts of $310,000, as of March 28, 2008 and our accounts receivable balance was $139.8 million, net of allowance for doubtful accounts of $1.2 million, as of March 30, 2007.</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provide limited warranties on a majority of our products for periods of up to five years. We record a liability for our warranty obligations when we ship the products based upon an estimate of expected warranty costs. We classify the amounts we expect to incur within twelve months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 that may occur. It is possible that our underlying assumptions will not reflect the actual experience, and in that case, we will make future adjustments to the recorded warranty obligation.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account for our goodwill under SFAS No. 142 (SFAS 142), “Goodwill and Other Intangible Assets.” The SFAS 142 goodwill impairment model is a two-step process. First, it requires a comparison of the book value of net assets to the fair value of the reporting units that have goodwill assigned to them. The only reporting units which have goodwill assigned to them are the businesses which were acquired and have been included in our commercial segment.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value below carrying value represents the amount of goodwill impairment. We test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2"/>
        <w:spacing w:after="0" w:line="293" w:lineRule="auto"/>
        <w:rPr>
          <w:sz w:val="20"/>
          <w:szCs w:val="20"/>
          <w:color w:val="auto"/>
        </w:rPr>
      </w:pPr>
      <w:r>
        <w:rPr>
          <w:rFonts w:ascii="Arial" w:cs="Arial" w:eastAsia="Arial" w:hAnsi="Arial"/>
          <w:sz w:val="16"/>
          <w:szCs w:val="16"/>
          <w:color w:val="auto"/>
        </w:rPr>
        <w:t>We estimate the fair values of the related operations using discounted cash flows and other indicators of fair value.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SFAS 142 goodwill impairment model, which could significantly influence whether a goodwill impairment needs to be recorded. We adjust the cash flow forecasts by an appropriate discount rate derived from our market capitalization plus a suitable control premium at the date of evaluation. In applying the first step, which is identification of any impairment of goodwill, no impairment of goodwill has resulted.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and other property and equipment</w:t>
      </w:r>
    </w:p>
    <w:p>
      <w:pPr>
        <w:spacing w:after="0" w:line="117"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Satellite and other property and equipment are stated at cost, net of accumulated depreciation, except for construction-in-progress projects. Currently, we have one satellite under construction, ViaSat-1. Costs are capitalized as incurred and include construction, launch and insurance. Satellite construction and launch services are generally procured under long-term contracts that provide for payments by us over the contract periods. Satellite construction and launch services costs are capitalized to reflect progress toward completion, which typically coincides with contract milestone payment schedules. Insurance premiums related to satellite launches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 (property and equipment and other intangible assets)</w:t>
      </w:r>
    </w:p>
    <w:p>
      <w:pPr>
        <w:spacing w:after="0" w:line="117"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accordance with SFAS No. 144 (SFAS 144), “Accounting for the Impairment or Disposal of Long-Lived Assets,” we assess potential impairments to our long-lived assets, including property and equipment and other intangible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We have not identified any such impairments.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In accordance with SFAS No. 109 (SFAS 109), “Accounting for Income Taxes,” net deferred tax assets are reduced by a valuation allowance if, based on all the available evidence, it is more likely than not that some or all of the deferred tax assets will not be realized.</w:t>
      </w:r>
    </w:p>
    <w:p>
      <w:pPr>
        <w:spacing w:after="0" w:line="7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March 31, 2007, we adopted the provisions of Financial Accounting Standards Board (FASB) Interpretation No. 48 (FIN 48), “Accounting for Uncertainty in Income Taxes-an interpretation of FASB Statement No. 109.” FIN 48 clarifies the accounting for uncertainty in income taxes recognized in an enterprise’s financial statements in accordance with SFAS 109. FIN 48 prescribes a recognition threshold and measurement attribute for the financial statement recognition and measurement of a tax position taken or expected to be taken in a tax return, and provides guidance on derecognition, classification, interest and penalties, accounting in interim periods, disclosure and transition. For those benefits to be recognized, a tax position must be more-likely-than-not to be sustained upon examination by taxing authorities. The amount recognized is measured as the largest amount of benefit that is greater than fifty percent likely of being realized upon ultimate settlement.</w:t>
      </w:r>
    </w:p>
    <w:p>
      <w:pPr>
        <w:spacing w:after="0" w:line="81"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our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allowance on deferred tax assets</w:t>
      </w:r>
    </w:p>
    <w:p>
      <w:pPr>
        <w:spacing w:after="0" w:line="117"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SFAS 109, net deferred tax assets are reduced by a valuation allowance if, based on all the available evidence, it is more likely than not that some or all of the deferred tax assets will not be realized. We maintained a valuation allowance of $969,000 and $403,000 against deferred tax assets at March 28, 2008 and March 30, 2007, respectively, relating to state net operating loss carryforwards and research credit carryforwards available to reduce state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March 28, 2008</w:t>
            </w:r>
          </w:p>
        </w:tc>
        <w:tc>
          <w:tcPr>
            <w:tcW w:w="480" w:type="dxa"/>
            <w:vAlign w:val="bottom"/>
          </w:tcPr>
          <w:p>
            <w:pPr>
              <w:spacing w:after="0"/>
              <w:rPr>
                <w:sz w:val="14"/>
                <w:szCs w:val="1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30, 2007</w:t>
            </w:r>
          </w:p>
        </w:tc>
        <w:tc>
          <w:tcPr>
            <w:tcW w:w="480" w:type="dxa"/>
            <w:vAlign w:val="bottom"/>
          </w:tcPr>
          <w:p>
            <w:pPr>
              <w:spacing w:after="0"/>
              <w:rPr>
                <w:sz w:val="14"/>
                <w:szCs w:val="1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31, 2006</w:t>
            </w: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8"/>
                <w:szCs w:val="18"/>
                <w:color w:val="auto"/>
              </w:rPr>
            </w:pPr>
          </w:p>
        </w:tc>
        <w:tc>
          <w:tcPr>
            <w:tcW w:w="1220" w:type="dxa"/>
            <w:vAlign w:val="bottom"/>
            <w:tcBorders>
              <w:top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22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22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38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73.6</w:t>
            </w:r>
          </w:p>
        </w:tc>
        <w:tc>
          <w:tcPr>
            <w:tcW w:w="17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75.0</w:t>
            </w: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8"/>
                <w:szCs w:val="18"/>
                <w:color w:val="auto"/>
              </w:rPr>
              <w:t>13.5</w:t>
            </w:r>
          </w:p>
        </w:tc>
        <w:tc>
          <w:tcPr>
            <w:tcW w:w="1700" w:type="dxa"/>
            <w:vAlign w:val="bottom"/>
            <w:gridSpan w:val="4"/>
          </w:tcPr>
          <w:p>
            <w:pPr>
              <w:jc w:val="right"/>
              <w:ind w:right="400"/>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6.9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18"/>
                <w:szCs w:val="18"/>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8"/>
                <w:szCs w:val="18"/>
                <w:color w:val="auto"/>
              </w:rPr>
              <w:t>7.2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2008 Compared to Fiscal Year 2007</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920" w:type="dxa"/>
            <w:vAlign w:val="bottom"/>
            <w:gridSpan w:val="3"/>
            <w:vMerge w:val="restart"/>
          </w:tcPr>
          <w:p>
            <w:pPr>
              <w:jc w:val="right"/>
              <w:ind w:right="988"/>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540" w:type="dxa"/>
            <w:vAlign w:val="bottom"/>
          </w:tcPr>
          <w:p>
            <w:pPr>
              <w:spacing w:after="0"/>
              <w:rPr>
                <w:sz w:val="13"/>
                <w:szCs w:val="13"/>
                <w:color w:val="auto"/>
              </w:rPr>
            </w:pPr>
          </w:p>
        </w:tc>
        <w:tc>
          <w:tcPr>
            <w:tcW w:w="2920" w:type="dxa"/>
            <w:vAlign w:val="bottom"/>
            <w:tcBorders>
              <w:bottom w:val="single" w:sz="8" w:color="auto"/>
            </w:tcBorders>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0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2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March 28, 2008</w:t>
            </w:r>
          </w:p>
        </w:tc>
        <w:tc>
          <w:tcPr>
            <w:tcW w:w="480" w:type="dxa"/>
            <w:vAlign w:val="bottom"/>
          </w:tcPr>
          <w:p>
            <w:pPr>
              <w:spacing w:after="0"/>
              <w:rPr>
                <w:sz w:val="12"/>
                <w:szCs w:val="12"/>
                <w:color w:val="auto"/>
              </w:rPr>
            </w:pPr>
          </w:p>
        </w:tc>
        <w:tc>
          <w:tcPr>
            <w:tcW w:w="12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30, 2007</w:t>
            </w:r>
          </w:p>
        </w:tc>
        <w:tc>
          <w:tcPr>
            <w:tcW w:w="4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700" w:type="dxa"/>
            <w:vAlign w:val="bottom"/>
            <w:gridSpan w:val="3"/>
          </w:tcPr>
          <w:p>
            <w:pPr>
              <w:jc w:val="right"/>
              <w:ind w:right="388"/>
              <w:spacing w:after="0" w:line="128" w:lineRule="exact"/>
              <w:rPr>
                <w:sz w:val="20"/>
                <w:szCs w:val="20"/>
                <w:color w:val="auto"/>
              </w:rPr>
            </w:pPr>
            <w:r>
              <w:rPr>
                <w:rFonts w:ascii="Arial" w:cs="Arial" w:eastAsia="Arial" w:hAnsi="Arial"/>
                <w:sz w:val="14"/>
                <w:szCs w:val="14"/>
                <w:b w:val="1"/>
                <w:bCs w:val="1"/>
                <w:color w:val="auto"/>
              </w:rPr>
              <w:t>(In millions, except percentages)</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Revenues</w:t>
            </w:r>
          </w:p>
        </w:tc>
        <w:tc>
          <w:tcPr>
            <w:tcW w:w="1220" w:type="dxa"/>
            <w:vAlign w:val="bottom"/>
          </w:tcPr>
          <w:p>
            <w:pPr>
              <w:jc w:val="right"/>
              <w:ind w:right="322"/>
              <w:spacing w:after="0"/>
              <w:rPr>
                <w:sz w:val="20"/>
                <w:szCs w:val="20"/>
                <w:color w:val="auto"/>
              </w:rPr>
            </w:pPr>
            <w:r>
              <w:rPr>
                <w:rFonts w:ascii="Arial" w:cs="Arial" w:eastAsia="Arial" w:hAnsi="Arial"/>
                <w:sz w:val="18"/>
                <w:szCs w:val="18"/>
                <w:color w:val="auto"/>
              </w:rPr>
              <w:t>$574.7</w:t>
            </w:r>
          </w:p>
        </w:tc>
        <w:tc>
          <w:tcPr>
            <w:tcW w:w="1700" w:type="dxa"/>
            <w:vAlign w:val="bottom"/>
            <w:gridSpan w:val="2"/>
          </w:tcPr>
          <w:p>
            <w:pPr>
              <w:jc w:val="right"/>
              <w:ind w:right="328"/>
              <w:spacing w:after="0"/>
              <w:rPr>
                <w:sz w:val="20"/>
                <w:szCs w:val="20"/>
                <w:color w:val="auto"/>
              </w:rPr>
            </w:pPr>
            <w:r>
              <w:rPr>
                <w:rFonts w:ascii="Arial" w:cs="Arial" w:eastAsia="Arial" w:hAnsi="Arial"/>
                <w:sz w:val="18"/>
                <w:szCs w:val="18"/>
                <w:color w:val="auto"/>
              </w:rPr>
              <w:t>$516.6</w:t>
            </w:r>
          </w:p>
        </w:tc>
        <w:tc>
          <w:tcPr>
            <w:tcW w:w="1480" w:type="dxa"/>
            <w:vAlign w:val="bottom"/>
            <w:gridSpan w:val="2"/>
          </w:tcPr>
          <w:p>
            <w:pPr>
              <w:jc w:val="right"/>
              <w:ind w:right="248"/>
              <w:spacing w:after="0"/>
              <w:rPr>
                <w:sz w:val="20"/>
                <w:szCs w:val="20"/>
                <w:color w:val="auto"/>
              </w:rPr>
            </w:pPr>
            <w:r>
              <w:rPr>
                <w:rFonts w:ascii="Arial" w:cs="Arial" w:eastAsia="Arial" w:hAnsi="Arial"/>
                <w:sz w:val="18"/>
                <w:szCs w:val="18"/>
                <w:color w:val="auto"/>
              </w:rPr>
              <w:t>$58.1</w:t>
            </w: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increase in revenues from $516.6 million to $574.7 million was due to higher customer awards received during our fiscal year 2008 of $560.0 million compared to $525.0 million in fiscal year 2007 and the conversion of certain of those awards into revenues. Increased revenues were experienced in all three of our government systems, commercial networks and satellite services segments. The revenue increase in our government systems segment was primarily derived from increased sales of next generation military satellite communication systems of approximately $25.3 million, tactical data link products of approximately $5.9 million, video data link systems of approximately $4.1 million, certain government information assurance products of approximately $2.4 million and $3.3 million from Trellisware, our majority owned subsidiary. Our commercial networks segment revenue increase was primarily derived from increased sales of consumer broadband products of approximately $23.7 million and $14.8 million in higher sales from our antenna systems products, offset by a $25.3 million reduction in enterprise VSAT product sales.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900" w:type="dxa"/>
            <w:vAlign w:val="bottom"/>
            <w:gridSpan w:val="3"/>
            <w:vMerge w:val="restart"/>
          </w:tcPr>
          <w:p>
            <w:pPr>
              <w:jc w:val="right"/>
              <w:ind w:right="988"/>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620" w:type="dxa"/>
            <w:vAlign w:val="bottom"/>
          </w:tcPr>
          <w:p>
            <w:pPr>
              <w:spacing w:after="0"/>
              <w:rPr>
                <w:sz w:val="13"/>
                <w:szCs w:val="13"/>
                <w:color w:val="auto"/>
              </w:rPr>
            </w:pPr>
          </w:p>
        </w:tc>
        <w:tc>
          <w:tcPr>
            <w:tcW w:w="2900" w:type="dxa"/>
            <w:vAlign w:val="bottom"/>
            <w:tcBorders>
              <w:bottom w:val="single" w:sz="8" w:color="auto"/>
            </w:tcBorders>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0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2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1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30, 2007</w:t>
            </w:r>
          </w:p>
        </w:tc>
        <w:tc>
          <w:tcPr>
            <w:tcW w:w="50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700" w:type="dxa"/>
            <w:vAlign w:val="bottom"/>
            <w:gridSpan w:val="3"/>
          </w:tcPr>
          <w:p>
            <w:pPr>
              <w:jc w:val="right"/>
              <w:ind w:right="448"/>
              <w:spacing w:after="0" w:line="128" w:lineRule="exact"/>
              <w:rPr>
                <w:sz w:val="20"/>
                <w:szCs w:val="20"/>
                <w:color w:val="auto"/>
              </w:rPr>
            </w:pPr>
            <w:r>
              <w:rPr>
                <w:rFonts w:ascii="Arial" w:cs="Arial" w:eastAsia="Arial" w:hAnsi="Arial"/>
                <w:sz w:val="14"/>
                <w:szCs w:val="14"/>
                <w:b w:val="1"/>
                <w:bCs w:val="1"/>
                <w:color w:val="auto"/>
                <w:w w:val="99"/>
              </w:rPr>
              <w:t>(In millions, except percentages)</w:t>
            </w: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Cost of Revenues</w:t>
            </w:r>
          </w:p>
        </w:tc>
        <w:tc>
          <w:tcPr>
            <w:tcW w:w="1200" w:type="dxa"/>
            <w:vAlign w:val="bottom"/>
          </w:tcPr>
          <w:p>
            <w:pPr>
              <w:jc w:val="right"/>
              <w:ind w:right="319"/>
              <w:spacing w:after="0"/>
              <w:rPr>
                <w:sz w:val="20"/>
                <w:szCs w:val="20"/>
                <w:color w:val="auto"/>
              </w:rPr>
            </w:pPr>
            <w:r>
              <w:rPr>
                <w:rFonts w:ascii="Arial" w:cs="Arial" w:eastAsia="Arial" w:hAnsi="Arial"/>
                <w:sz w:val="18"/>
                <w:szCs w:val="18"/>
                <w:color w:val="auto"/>
              </w:rPr>
              <w:t>$413.5</w:t>
            </w:r>
          </w:p>
        </w:tc>
        <w:tc>
          <w:tcPr>
            <w:tcW w:w="1700" w:type="dxa"/>
            <w:vAlign w:val="bottom"/>
            <w:gridSpan w:val="2"/>
          </w:tcPr>
          <w:p>
            <w:pPr>
              <w:jc w:val="right"/>
              <w:ind w:right="328"/>
              <w:spacing w:after="0"/>
              <w:rPr>
                <w:sz w:val="20"/>
                <w:szCs w:val="20"/>
                <w:color w:val="auto"/>
              </w:rPr>
            </w:pPr>
            <w:r>
              <w:rPr>
                <w:rFonts w:ascii="Arial" w:cs="Arial" w:eastAsia="Arial" w:hAnsi="Arial"/>
                <w:sz w:val="18"/>
                <w:szCs w:val="18"/>
                <w:color w:val="auto"/>
              </w:rPr>
              <w:t>$380.1</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$33.4</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200" w:type="dxa"/>
            <w:vAlign w:val="bottom"/>
          </w:tcPr>
          <w:p>
            <w:pPr>
              <w:jc w:val="right"/>
              <w:ind w:right="159"/>
              <w:spacing w:after="0"/>
              <w:rPr>
                <w:sz w:val="20"/>
                <w:szCs w:val="20"/>
                <w:color w:val="auto"/>
              </w:rPr>
            </w:pPr>
            <w:r>
              <w:rPr>
                <w:rFonts w:ascii="Arial" w:cs="Arial" w:eastAsia="Arial" w:hAnsi="Arial"/>
                <w:sz w:val="18"/>
                <w:szCs w:val="18"/>
                <w:color w:val="auto"/>
              </w:rPr>
              <w:t>72.0%</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73.6%</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22"/>
        <w:spacing w:after="0" w:line="286" w:lineRule="auto"/>
        <w:rPr>
          <w:sz w:val="20"/>
          <w:szCs w:val="20"/>
          <w:color w:val="auto"/>
        </w:rPr>
      </w:pPr>
      <w:r>
        <w:rPr>
          <w:rFonts w:ascii="Arial" w:cs="Arial" w:eastAsia="Arial" w:hAnsi="Arial"/>
          <w:sz w:val="16"/>
          <w:szCs w:val="16"/>
          <w:color w:val="auto"/>
        </w:rPr>
        <w:t>The increase in cost of revenues from $380.1 million to $413.5 million was primarily due to our increased revenues. However, we did experience a decrease in the cost of revenues as a percent of revenues from 73.6% in the prior year to 72.0% in the current year. This improvement was primarily due to product cost reductions in our consumer and mobile broadband products totaling approximately $6.7 million and better program performance in our antenna systems product group totaling approximately $6.0 million. Cost of revenues in each of fiscal year 2008 and fiscal year 2007 included approximately</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$1.8 million in stock-based compensation expense, respectively. Cost of revenues may fluctuate in future quarters depending on the mix of products sold and services provided, competition, new product introduction costs and other factors.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760" w:type="dxa"/>
            <w:vAlign w:val="bottom"/>
            <w:gridSpan w:val="3"/>
            <w:vMerge w:val="restart"/>
          </w:tcPr>
          <w:p>
            <w:pPr>
              <w:jc w:val="right"/>
              <w:ind w:right="928"/>
              <w:spacing w:after="0"/>
              <w:rPr>
                <w:sz w:val="20"/>
                <w:szCs w:val="20"/>
                <w:color w:val="auto"/>
              </w:rPr>
            </w:pPr>
            <w:r>
              <w:rPr>
                <w:rFonts w:ascii="Arial" w:cs="Arial" w:eastAsia="Arial" w:hAnsi="Arial"/>
                <w:sz w:val="14"/>
                <w:szCs w:val="14"/>
                <w:b w:val="1"/>
                <w:bCs w:val="1"/>
                <w:color w:val="auto"/>
              </w:rPr>
              <w:t>Years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820" w:type="dxa"/>
            <w:vAlign w:val="bottom"/>
          </w:tcPr>
          <w:p>
            <w:pPr>
              <w:spacing w:after="0"/>
              <w:rPr>
                <w:sz w:val="13"/>
                <w:szCs w:val="13"/>
                <w:color w:val="auto"/>
              </w:rPr>
            </w:pPr>
          </w:p>
        </w:tc>
        <w:tc>
          <w:tcPr>
            <w:tcW w:w="2760" w:type="dxa"/>
            <w:vAlign w:val="bottom"/>
            <w:tcBorders>
              <w:bottom w:val="single" w:sz="8" w:color="auto"/>
            </w:tcBorders>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Increase</w:t>
            </w:r>
          </w:p>
        </w:tc>
        <w:tc>
          <w:tcPr>
            <w:tcW w:w="52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11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March 30, 2007</w:t>
            </w:r>
          </w:p>
        </w:tc>
        <w:tc>
          <w:tcPr>
            <w:tcW w:w="52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52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560" w:type="dxa"/>
            <w:vAlign w:val="bottom"/>
            <w:gridSpan w:val="3"/>
          </w:tcPr>
          <w:p>
            <w:pPr>
              <w:jc w:val="right"/>
              <w:ind w:right="328"/>
              <w:spacing w:after="0" w:line="128" w:lineRule="exact"/>
              <w:rPr>
                <w:sz w:val="20"/>
                <w:szCs w:val="20"/>
                <w:color w:val="auto"/>
              </w:rPr>
            </w:pPr>
            <w:r>
              <w:rPr>
                <w:rFonts w:ascii="Arial" w:cs="Arial" w:eastAsia="Arial" w:hAnsi="Arial"/>
                <w:sz w:val="14"/>
                <w:szCs w:val="14"/>
                <w:b w:val="1"/>
                <w:bCs w:val="1"/>
                <w:color w:val="auto"/>
                <w:w w:val="98"/>
              </w:rPr>
              <w:t>(In millions, except percentages)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jc w:val="right"/>
              <w:ind w:right="319"/>
              <w:spacing w:after="0"/>
              <w:rPr>
                <w:sz w:val="20"/>
                <w:szCs w:val="20"/>
                <w:color w:val="auto"/>
              </w:rPr>
            </w:pPr>
            <w:r>
              <w:rPr>
                <w:rFonts w:ascii="Arial" w:cs="Arial" w:eastAsia="Arial" w:hAnsi="Arial"/>
                <w:sz w:val="18"/>
                <w:szCs w:val="18"/>
                <w:color w:val="auto"/>
              </w:rPr>
              <w:t>$76.4</w:t>
            </w:r>
          </w:p>
        </w:tc>
        <w:tc>
          <w:tcPr>
            <w:tcW w:w="1640" w:type="dxa"/>
            <w:vAlign w:val="bottom"/>
            <w:gridSpan w:val="2"/>
          </w:tcPr>
          <w:p>
            <w:pPr>
              <w:jc w:val="right"/>
              <w:ind w:right="328"/>
              <w:spacing w:after="0"/>
              <w:rPr>
                <w:sz w:val="20"/>
                <w:szCs w:val="20"/>
                <w:color w:val="auto"/>
              </w:rPr>
            </w:pPr>
            <w:r>
              <w:rPr>
                <w:rFonts w:ascii="Arial" w:cs="Arial" w:eastAsia="Arial" w:hAnsi="Arial"/>
                <w:sz w:val="18"/>
                <w:szCs w:val="18"/>
                <w:color w:val="auto"/>
              </w:rPr>
              <w:t>$69.9</w:t>
            </w: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$6.5</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120" w:type="dxa"/>
            <w:vAlign w:val="bottom"/>
          </w:tcPr>
          <w:p>
            <w:pPr>
              <w:jc w:val="right"/>
              <w:ind w:right="159"/>
              <w:spacing w:after="0"/>
              <w:rPr>
                <w:sz w:val="20"/>
                <w:szCs w:val="20"/>
                <w:color w:val="auto"/>
              </w:rPr>
            </w:pPr>
            <w:r>
              <w:rPr>
                <w:rFonts w:ascii="Arial" w:cs="Arial" w:eastAsia="Arial" w:hAnsi="Arial"/>
                <w:sz w:val="18"/>
                <w:szCs w:val="18"/>
                <w:color w:val="auto"/>
              </w:rPr>
              <w:t>13.3%</w:t>
            </w:r>
          </w:p>
        </w:tc>
        <w:tc>
          <w:tcPr>
            <w:tcW w:w="1640" w:type="dxa"/>
            <w:vAlign w:val="bottom"/>
            <w:gridSpan w:val="2"/>
          </w:tcPr>
          <w:p>
            <w:pPr>
              <w:jc w:val="right"/>
              <w:ind w:right="188"/>
              <w:spacing w:after="0"/>
              <w:rPr>
                <w:sz w:val="20"/>
                <w:szCs w:val="20"/>
                <w:color w:val="auto"/>
              </w:rPr>
            </w:pPr>
            <w:r>
              <w:rPr>
                <w:rFonts w:ascii="Arial" w:cs="Arial" w:eastAsia="Arial" w:hAnsi="Arial"/>
                <w:sz w:val="18"/>
                <w:szCs w:val="18"/>
                <w:color w:val="auto"/>
              </w:rPr>
              <w:t>13.5%</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20" w:firstLine="222"/>
        <w:spacing w:after="0" w:line="286" w:lineRule="auto"/>
        <w:rPr>
          <w:sz w:val="20"/>
          <w:szCs w:val="20"/>
          <w:color w:val="auto"/>
        </w:rPr>
      </w:pPr>
      <w:r>
        <w:rPr>
          <w:rFonts w:ascii="Arial" w:cs="Arial" w:eastAsia="Arial" w:hAnsi="Arial"/>
          <w:sz w:val="17"/>
          <w:szCs w:val="17"/>
          <w:color w:val="auto"/>
        </w:rPr>
        <w:t>The increase in selling, general and administrative (SG&amp;A) expenses year over year is primarily attributable to higher support costs of approximately $1.0 million and higher selling and proposal costs of approximately $4.6 million to support our anticipated future revenue growth and approximately $4.7 million in stock-based compensation expense recorded in fiscal year 2008 versus $2.9 million in fiscal year 2007.</w:t>
      </w:r>
    </w:p>
    <w:p>
      <w:pPr>
        <w:spacing w:after="0" w:line="57"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SG&amp;A expenses consist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760" w:type="dxa"/>
            <w:vAlign w:val="bottom"/>
            <w:gridSpan w:val="3"/>
            <w:vMerge w:val="restart"/>
          </w:tcPr>
          <w:p>
            <w:pPr>
              <w:jc w:val="right"/>
              <w:ind w:right="908"/>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660" w:type="dxa"/>
            <w:vAlign w:val="bottom"/>
          </w:tcPr>
          <w:p>
            <w:pPr>
              <w:spacing w:after="0"/>
              <w:rPr>
                <w:sz w:val="13"/>
                <w:szCs w:val="13"/>
                <w:color w:val="auto"/>
              </w:rPr>
            </w:pPr>
          </w:p>
        </w:tc>
        <w:tc>
          <w:tcPr>
            <w:tcW w:w="2760" w:type="dxa"/>
            <w:vAlign w:val="bottom"/>
            <w:tcBorders>
              <w:bottom w:val="single" w:sz="8" w:color="auto"/>
            </w:tcBorders>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28, 2008</w:t>
            </w:r>
          </w:p>
        </w:tc>
        <w:tc>
          <w:tcPr>
            <w:tcW w:w="480" w:type="dxa"/>
            <w:vAlign w:val="bottom"/>
          </w:tcPr>
          <w:p>
            <w:pPr>
              <w:spacing w:after="0"/>
              <w:rPr>
                <w:sz w:val="12"/>
                <w:szCs w:val="12"/>
                <w:color w:val="auto"/>
              </w:rPr>
            </w:pPr>
          </w:p>
        </w:tc>
        <w:tc>
          <w:tcPr>
            <w:tcW w:w="11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March 30, 2007</w:t>
            </w: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jc w:val="right"/>
              <w:spacing w:after="0" w:line="128" w:lineRule="exact"/>
              <w:rPr>
                <w:sz w:val="20"/>
                <w:szCs w:val="20"/>
                <w:color w:val="auto"/>
              </w:rPr>
            </w:pPr>
            <w:r>
              <w:rPr>
                <w:rFonts w:ascii="Arial" w:cs="Arial" w:eastAsia="Arial" w:hAnsi="Arial"/>
                <w:sz w:val="14"/>
                <w:szCs w:val="14"/>
                <w:b w:val="1"/>
                <w:bCs w:val="1"/>
                <w:color w:val="auto"/>
              </w:rPr>
              <w:t>(In millions,</w:t>
            </w:r>
          </w:p>
        </w:tc>
        <w:tc>
          <w:tcPr>
            <w:tcW w:w="500" w:type="dxa"/>
            <w:vAlign w:val="bottom"/>
            <w:vMerge w:val="continue"/>
          </w:tcPr>
          <w:p>
            <w:pPr>
              <w:spacing w:after="0"/>
              <w:rPr>
                <w:sz w:val="11"/>
                <w:szCs w:val="11"/>
                <w:color w:val="auto"/>
              </w:rPr>
            </w:pPr>
          </w:p>
        </w:tc>
        <w:tc>
          <w:tcPr>
            <w:tcW w:w="1000" w:type="dxa"/>
            <w:vAlign w:val="bottom"/>
          </w:tcPr>
          <w:p>
            <w:pPr>
              <w:jc w:val="right"/>
              <w:ind w:right="248"/>
              <w:spacing w:after="0" w:line="128" w:lineRule="exact"/>
              <w:rPr>
                <w:sz w:val="20"/>
                <w:szCs w:val="20"/>
                <w:color w:val="auto"/>
              </w:rPr>
            </w:pPr>
            <w:r>
              <w:rPr>
                <w:rFonts w:ascii="Arial" w:cs="Arial" w:eastAsia="Arial" w:hAnsi="Arial"/>
                <w:sz w:val="14"/>
                <w:szCs w:val="14"/>
                <w:b w:val="1"/>
                <w:bCs w:val="1"/>
                <w:color w:val="auto"/>
                <w:w w:val="75"/>
              </w:rPr>
              <w:t>percentages)</w:t>
            </w: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Independent Research and Development</w:t>
            </w:r>
          </w:p>
        </w:tc>
        <w:tc>
          <w:tcPr>
            <w:tcW w:w="1140" w:type="dxa"/>
            <w:vAlign w:val="bottom"/>
          </w:tcPr>
          <w:p>
            <w:pPr>
              <w:jc w:val="right"/>
              <w:ind w:right="319"/>
              <w:spacing w:after="0"/>
              <w:rPr>
                <w:sz w:val="20"/>
                <w:szCs w:val="20"/>
                <w:color w:val="auto"/>
              </w:rPr>
            </w:pPr>
            <w:r>
              <w:rPr>
                <w:rFonts w:ascii="Arial" w:cs="Arial" w:eastAsia="Arial" w:hAnsi="Arial"/>
                <w:sz w:val="18"/>
                <w:szCs w:val="18"/>
                <w:color w:val="auto"/>
              </w:rPr>
              <w:t>$32.3</w:t>
            </w:r>
          </w:p>
        </w:tc>
        <w:tc>
          <w:tcPr>
            <w:tcW w:w="1620" w:type="dxa"/>
            <w:vAlign w:val="bottom"/>
            <w:gridSpan w:val="2"/>
          </w:tcPr>
          <w:p>
            <w:pPr>
              <w:jc w:val="right"/>
              <w:ind w:right="328"/>
              <w:spacing w:after="0"/>
              <w:rPr>
                <w:sz w:val="20"/>
                <w:szCs w:val="20"/>
                <w:color w:val="auto"/>
              </w:rPr>
            </w:pPr>
            <w:r>
              <w:rPr>
                <w:rFonts w:ascii="Arial" w:cs="Arial" w:eastAsia="Arial" w:hAnsi="Arial"/>
                <w:sz w:val="18"/>
                <w:szCs w:val="18"/>
                <w:color w:val="auto"/>
              </w:rPr>
              <w:t>$21.6</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$10.6</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5.6%</w:t>
            </w:r>
          </w:p>
        </w:tc>
        <w:tc>
          <w:tcPr>
            <w:tcW w:w="1620" w:type="dxa"/>
            <w:vAlign w:val="bottom"/>
            <w:gridSpan w:val="2"/>
          </w:tcPr>
          <w:p>
            <w:pPr>
              <w:jc w:val="right"/>
              <w:ind w:right="188"/>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 increase in independent research and development (IR&amp;D) expenses reflects year over year increases derived from the government systems segment of $6.5 million and the commercial networks segment of $4.1 million. The higher IR&amp;D expenses were principally for the development of next generation information assurance, UAV technology, next generation broadband equipment and mobile antenna technologies and reflect our recognition of certain opportunities in these markets and the need to invest in the development of new technologies to meet these opportunities.</w:t>
      </w:r>
    </w:p>
    <w:p>
      <w:pPr>
        <w:spacing w:after="0" w:line="63"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i w:val="1"/>
          <w:iCs w:val="1"/>
          <w:color w:val="auto"/>
        </w:rPr>
        <w:t xml:space="preserve">Amortization of Intangible Assets. </w:t>
      </w:r>
      <w:r>
        <w:rPr>
          <w:rFonts w:ascii="Arial" w:cs="Arial" w:eastAsia="Arial" w:hAnsi="Arial"/>
          <w:sz w:val="17"/>
          <w:szCs w:val="17"/>
          <w:color w:val="auto"/>
        </w:rPr>
        <w:t>The intangible assets from prior acquisitions are being amortized over estimated useful lives ranging from eight months</w:t>
      </w:r>
      <w:r>
        <w:rPr>
          <w:rFonts w:ascii="Arial" w:cs="Arial" w:eastAsia="Arial" w:hAnsi="Arial"/>
          <w:sz w:val="17"/>
          <w:szCs w:val="17"/>
          <w:i w:val="1"/>
          <w:iCs w:val="1"/>
          <w:color w:val="auto"/>
        </w:rPr>
        <w:t xml:space="preserve"> </w:t>
      </w:r>
      <w:r>
        <w:rPr>
          <w:rFonts w:ascii="Arial" w:cs="Arial" w:eastAsia="Arial" w:hAnsi="Arial"/>
          <w:sz w:val="17"/>
          <w:szCs w:val="17"/>
          <w:color w:val="auto"/>
        </w:rPr>
        <w:t>to ten years. The amortization of intangible assets will decrease each year as the intangible assets with shorter lives become fully amortized.</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expected amortization expense of long-lived acquired intangible assets for the next five fiscal years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8,821</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2010</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5,588</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4,826</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r>
      <w:tr>
        <w:trPr>
          <w:trHeight w:val="223"/>
        </w:trPr>
        <w:tc>
          <w:tcPr>
            <w:tcW w:w="1042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r>
      <w:tr>
        <w:trPr>
          <w:trHeight w:val="216"/>
        </w:trPr>
        <w:tc>
          <w:tcPr>
            <w:tcW w:w="10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25,477</w:t>
            </w:r>
          </w:p>
        </w:tc>
      </w:tr>
      <w:tr>
        <w:trPr>
          <w:trHeight w:val="20"/>
        </w:trPr>
        <w:tc>
          <w:tcPr>
            <w:tcW w:w="10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to $5.7 million for fiscal year 2008 from $2.2 million for fiscal year 2007 due to higher average invested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year over year.</w:t>
      </w:r>
    </w:p>
    <w:p>
      <w:pPr>
        <w:spacing w:after="0" w:line="62"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to $557,000 for fiscal year 2008 from $448,000 for fiscal year 2007, primarily due to the accretion of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on a borrowing agreement entered into in the fourth quarter of fiscal year 2007. Commitment fees on our line of credit availability remained the same year over year. At March 28, 2008 and March 30, 2007, we had no outstanding borrowings under our line of credit.</w:t>
      </w:r>
    </w:p>
    <w:p>
      <w:pPr>
        <w:spacing w:after="0" w:line="57"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increase in the effective rate for fiscal year 2008 compared to fiscal year 2007 was primarily due to reduced federal tax</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in fiscal year 2008 as the research credit was available for only nine months in fiscal year 2008 compared to fifteen months in fiscal year 2007 due to reinstatement of the credit retroactively to January 1,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 Results Fiscal Year 2008 Compared to Fiscal Year 2007</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900" w:type="dxa"/>
            <w:vAlign w:val="bottom"/>
            <w:gridSpan w:val="3"/>
            <w:vMerge w:val="restart"/>
          </w:tcPr>
          <w:p>
            <w:pPr>
              <w:jc w:val="right"/>
              <w:ind w:right="988"/>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540" w:type="dxa"/>
            <w:vAlign w:val="bottom"/>
          </w:tcPr>
          <w:p>
            <w:pPr>
              <w:spacing w:after="0"/>
              <w:rPr>
                <w:sz w:val="13"/>
                <w:szCs w:val="13"/>
                <w:color w:val="auto"/>
              </w:rPr>
            </w:pPr>
          </w:p>
        </w:tc>
        <w:tc>
          <w:tcPr>
            <w:tcW w:w="2900" w:type="dxa"/>
            <w:vAlign w:val="bottom"/>
            <w:tcBorders>
              <w:bottom w:val="single" w:sz="8" w:color="auto"/>
            </w:tcBorders>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4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2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1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30, 2007</w:t>
            </w: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jc w:val="right"/>
              <w:ind w:right="28"/>
              <w:spacing w:after="0" w:line="128" w:lineRule="exact"/>
              <w:rPr>
                <w:sz w:val="20"/>
                <w:szCs w:val="20"/>
                <w:color w:val="auto"/>
              </w:rPr>
            </w:pPr>
            <w:r>
              <w:rPr>
                <w:rFonts w:ascii="Arial" w:cs="Arial" w:eastAsia="Arial" w:hAnsi="Arial"/>
                <w:sz w:val="14"/>
                <w:szCs w:val="14"/>
                <w:b w:val="1"/>
                <w:bCs w:val="1"/>
                <w:color w:val="auto"/>
              </w:rPr>
              <w:t>(In millions,</w:t>
            </w:r>
          </w:p>
        </w:tc>
        <w:tc>
          <w:tcPr>
            <w:tcW w:w="500" w:type="dxa"/>
            <w:vAlign w:val="bottom"/>
            <w:vMerge w:val="continue"/>
          </w:tcPr>
          <w:p>
            <w:pPr>
              <w:spacing w:after="0"/>
              <w:rPr>
                <w:sz w:val="11"/>
                <w:szCs w:val="11"/>
                <w:color w:val="auto"/>
              </w:rPr>
            </w:pPr>
          </w:p>
        </w:tc>
        <w:tc>
          <w:tcPr>
            <w:tcW w:w="1000" w:type="dxa"/>
            <w:vAlign w:val="bottom"/>
          </w:tcPr>
          <w:p>
            <w:pPr>
              <w:jc w:val="right"/>
              <w:ind w:right="288"/>
              <w:spacing w:after="0" w:line="128" w:lineRule="exact"/>
              <w:rPr>
                <w:sz w:val="20"/>
                <w:szCs w:val="20"/>
                <w:color w:val="auto"/>
              </w:rPr>
            </w:pPr>
            <w:r>
              <w:rPr>
                <w:rFonts w:ascii="Arial" w:cs="Arial" w:eastAsia="Arial" w:hAnsi="Arial"/>
                <w:sz w:val="14"/>
                <w:szCs w:val="14"/>
                <w:b w:val="1"/>
                <w:bCs w:val="1"/>
                <w:color w:val="auto"/>
                <w:w w:val="71"/>
              </w:rPr>
              <w:t>percentages)</w:t>
            </w: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Revenues</w:t>
            </w:r>
          </w:p>
        </w:tc>
        <w:tc>
          <w:tcPr>
            <w:tcW w:w="1200" w:type="dxa"/>
            <w:vAlign w:val="bottom"/>
          </w:tcPr>
          <w:p>
            <w:pPr>
              <w:jc w:val="right"/>
              <w:ind w:right="322"/>
              <w:spacing w:after="0"/>
              <w:rPr>
                <w:sz w:val="20"/>
                <w:szCs w:val="20"/>
                <w:color w:val="auto"/>
              </w:rPr>
            </w:pPr>
            <w:r>
              <w:rPr>
                <w:rFonts w:ascii="Arial" w:cs="Arial" w:eastAsia="Arial" w:hAnsi="Arial"/>
                <w:sz w:val="18"/>
                <w:szCs w:val="18"/>
                <w:color w:val="auto"/>
              </w:rPr>
              <w:t>$319.5</w:t>
            </w:r>
          </w:p>
        </w:tc>
        <w:tc>
          <w:tcPr>
            <w:tcW w:w="1700" w:type="dxa"/>
            <w:vAlign w:val="bottom"/>
            <w:gridSpan w:val="2"/>
          </w:tcPr>
          <w:p>
            <w:pPr>
              <w:jc w:val="right"/>
              <w:ind w:right="328"/>
              <w:spacing w:after="0"/>
              <w:rPr>
                <w:sz w:val="20"/>
                <w:szCs w:val="20"/>
                <w:color w:val="auto"/>
              </w:rPr>
            </w:pPr>
            <w:r>
              <w:rPr>
                <w:rFonts w:ascii="Arial" w:cs="Arial" w:eastAsia="Arial" w:hAnsi="Arial"/>
                <w:sz w:val="18"/>
                <w:szCs w:val="18"/>
                <w:color w:val="auto"/>
              </w:rPr>
              <w:t>$278.4</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$41.2</w:t>
            </w: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government systems segment revenues increased primarily due to a higher beginning backlog and the receipt of $306.2 million in awards during fiscal year 2008. The $41.2 million revenue increase was comprised of higher year over year sales of approximately $25.3 million in next generation military satellite communication systems, approximately $5.9 million from tactical data link products, approximately $4.1 million from sales of video data link systems, approximately $2.4 million from certain government information assurance products and $3.3 million increase in sales at Trellisware, our majority owned subsidiary.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760" w:type="dxa"/>
            <w:vAlign w:val="bottom"/>
            <w:gridSpan w:val="3"/>
            <w:vMerge w:val="restart"/>
          </w:tcPr>
          <w:p>
            <w:pPr>
              <w:jc w:val="right"/>
              <w:ind w:right="908"/>
              <w:spacing w:after="0"/>
              <w:rPr>
                <w:sz w:val="20"/>
                <w:szCs w:val="20"/>
                <w:color w:val="auto"/>
              </w:rPr>
            </w:pPr>
            <w:r>
              <w:rPr>
                <w:rFonts w:ascii="Arial" w:cs="Arial" w:eastAsia="Arial" w:hAnsi="Arial"/>
                <w:sz w:val="14"/>
                <w:szCs w:val="14"/>
                <w:b w:val="1"/>
                <w:bCs w:val="1"/>
                <w:color w:val="auto"/>
              </w:rPr>
              <w:t>Years Ended</w:t>
            </w: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760" w:type="dxa"/>
            <w:vAlign w:val="bottom"/>
          </w:tcPr>
          <w:p>
            <w:pPr>
              <w:spacing w:after="0"/>
              <w:rPr>
                <w:sz w:val="13"/>
                <w:szCs w:val="13"/>
                <w:color w:val="auto"/>
              </w:rPr>
            </w:pPr>
          </w:p>
        </w:tc>
        <w:tc>
          <w:tcPr>
            <w:tcW w:w="2760" w:type="dxa"/>
            <w:vAlign w:val="bottom"/>
            <w:tcBorders>
              <w:bottom w:val="single" w:sz="8" w:color="auto"/>
            </w:tcBorders>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Increase</w:t>
            </w:r>
          </w:p>
        </w:tc>
        <w:tc>
          <w:tcPr>
            <w:tcW w:w="52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14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11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March 30, 2007</w:t>
            </w: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52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Arial" w:cs="Arial" w:eastAsia="Arial" w:hAnsi="Arial"/>
                <w:sz w:val="14"/>
                <w:szCs w:val="14"/>
                <w:b w:val="1"/>
                <w:bCs w:val="1"/>
                <w:color w:val="auto"/>
              </w:rPr>
              <w:t>(In millions,</w:t>
            </w:r>
          </w:p>
        </w:tc>
        <w:tc>
          <w:tcPr>
            <w:tcW w:w="580" w:type="dxa"/>
            <w:vAlign w:val="bottom"/>
            <w:vMerge w:val="continue"/>
          </w:tcPr>
          <w:p>
            <w:pPr>
              <w:spacing w:after="0"/>
              <w:rPr>
                <w:sz w:val="11"/>
                <w:szCs w:val="11"/>
                <w:color w:val="auto"/>
              </w:rPr>
            </w:pPr>
          </w:p>
        </w:tc>
        <w:tc>
          <w:tcPr>
            <w:tcW w:w="900" w:type="dxa"/>
            <w:vAlign w:val="bottom"/>
          </w:tcPr>
          <w:p>
            <w:pPr>
              <w:jc w:val="right"/>
              <w:ind w:right="251"/>
              <w:spacing w:after="0" w:line="128" w:lineRule="exact"/>
              <w:rPr>
                <w:sz w:val="20"/>
                <w:szCs w:val="20"/>
                <w:color w:val="auto"/>
              </w:rPr>
            </w:pPr>
            <w:r>
              <w:rPr>
                <w:rFonts w:ascii="Arial" w:cs="Arial" w:eastAsia="Arial" w:hAnsi="Arial"/>
                <w:sz w:val="12"/>
                <w:szCs w:val="12"/>
                <w:b w:val="1"/>
                <w:bCs w:val="1"/>
                <w:color w:val="auto"/>
                <w:w w:val="74"/>
              </w:rPr>
              <w:t>percentages)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1140" w:type="dxa"/>
            <w:vAlign w:val="bottom"/>
          </w:tcPr>
          <w:p>
            <w:pPr>
              <w:jc w:val="right"/>
              <w:ind w:right="319"/>
              <w:spacing w:after="0"/>
              <w:rPr>
                <w:sz w:val="20"/>
                <w:szCs w:val="20"/>
                <w:color w:val="auto"/>
              </w:rPr>
            </w:pPr>
            <w:r>
              <w:rPr>
                <w:rFonts w:ascii="Arial" w:cs="Arial" w:eastAsia="Arial" w:hAnsi="Arial"/>
                <w:sz w:val="18"/>
                <w:szCs w:val="18"/>
                <w:color w:val="auto"/>
              </w:rPr>
              <w:t>$45.8</w:t>
            </w:r>
          </w:p>
        </w:tc>
        <w:tc>
          <w:tcPr>
            <w:tcW w:w="1620" w:type="dxa"/>
            <w:vAlign w:val="bottom"/>
            <w:gridSpan w:val="2"/>
          </w:tcPr>
          <w:p>
            <w:pPr>
              <w:jc w:val="right"/>
              <w:ind w:right="328"/>
              <w:spacing w:after="0"/>
              <w:rPr>
                <w:sz w:val="20"/>
                <w:szCs w:val="20"/>
                <w:color w:val="auto"/>
              </w:rPr>
            </w:pPr>
            <w:r>
              <w:rPr>
                <w:rFonts w:ascii="Arial" w:cs="Arial" w:eastAsia="Arial" w:hAnsi="Arial"/>
                <w:sz w:val="18"/>
                <w:szCs w:val="18"/>
                <w:color w:val="auto"/>
              </w:rPr>
              <w:t>$42.8</w:t>
            </w:r>
          </w:p>
        </w:tc>
        <w:tc>
          <w:tcPr>
            <w:tcW w:w="1480" w:type="dxa"/>
            <w:vAlign w:val="bottom"/>
            <w:gridSpan w:val="2"/>
          </w:tcPr>
          <w:p>
            <w:pPr>
              <w:jc w:val="right"/>
              <w:ind w:right="271"/>
              <w:spacing w:after="0"/>
              <w:rPr>
                <w:sz w:val="20"/>
                <w:szCs w:val="20"/>
                <w:color w:val="auto"/>
              </w:rPr>
            </w:pPr>
            <w:r>
              <w:rPr>
                <w:rFonts w:ascii="Arial" w:cs="Arial" w:eastAsia="Arial" w:hAnsi="Arial"/>
                <w:sz w:val="18"/>
                <w:szCs w:val="18"/>
                <w:color w:val="auto"/>
              </w:rPr>
              <w:t>$3.0</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14.3%</w:t>
            </w:r>
          </w:p>
        </w:tc>
        <w:tc>
          <w:tcPr>
            <w:tcW w:w="1620" w:type="dxa"/>
            <w:vAlign w:val="bottom"/>
            <w:gridSpan w:val="2"/>
          </w:tcPr>
          <w:p>
            <w:pPr>
              <w:jc w:val="right"/>
              <w:ind w:right="168"/>
              <w:spacing w:after="0"/>
              <w:rPr>
                <w:sz w:val="20"/>
                <w:szCs w:val="20"/>
                <w:color w:val="auto"/>
              </w:rPr>
            </w:pPr>
            <w:r>
              <w:rPr>
                <w:rFonts w:ascii="Arial" w:cs="Arial" w:eastAsia="Arial" w:hAnsi="Arial"/>
                <w:sz w:val="18"/>
                <w:szCs w:val="18"/>
                <w:color w:val="auto"/>
              </w:rPr>
              <w:t>15.4%</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Government systems segment operating profits increased primarily due to the increased revenues of $41.2 million offset by additional IR&amp;D spending of $6.5 million and growth in SG&amp;A expenses of $4.0 million from higher selling and support costs, and additional non-cash stock based compensation charges of $821,000.</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940" w:type="dxa"/>
            <w:vAlign w:val="bottom"/>
            <w:gridSpan w:val="3"/>
            <w:vMerge w:val="restart"/>
          </w:tcPr>
          <w:p>
            <w:pPr>
              <w:jc w:val="right"/>
              <w:ind w:right="1008"/>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580" w:type="dxa"/>
            <w:vAlign w:val="bottom"/>
          </w:tcPr>
          <w:p>
            <w:pPr>
              <w:spacing w:after="0"/>
              <w:rPr>
                <w:sz w:val="13"/>
                <w:szCs w:val="13"/>
                <w:color w:val="auto"/>
              </w:rPr>
            </w:pPr>
          </w:p>
        </w:tc>
        <w:tc>
          <w:tcPr>
            <w:tcW w:w="2940" w:type="dxa"/>
            <w:vAlign w:val="bottom"/>
            <w:tcBorders>
              <w:bottom w:val="single" w:sz="8" w:color="auto"/>
            </w:tcBorders>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0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2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1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March 30, 2007</w:t>
            </w: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Pr>
          <w:p>
            <w:pPr>
              <w:jc w:val="right"/>
              <w:ind w:right="28"/>
              <w:spacing w:after="0" w:line="128" w:lineRule="exact"/>
              <w:rPr>
                <w:sz w:val="20"/>
                <w:szCs w:val="20"/>
                <w:color w:val="auto"/>
              </w:rPr>
            </w:pPr>
            <w:r>
              <w:rPr>
                <w:rFonts w:ascii="Arial" w:cs="Arial" w:eastAsia="Arial" w:hAnsi="Arial"/>
                <w:sz w:val="14"/>
                <w:szCs w:val="14"/>
                <w:b w:val="1"/>
                <w:bCs w:val="1"/>
                <w:color w:val="auto"/>
              </w:rPr>
              <w:t>(In millions,</w:t>
            </w:r>
          </w:p>
        </w:tc>
        <w:tc>
          <w:tcPr>
            <w:tcW w:w="500" w:type="dxa"/>
            <w:vAlign w:val="bottom"/>
            <w:vMerge w:val="continue"/>
          </w:tcPr>
          <w:p>
            <w:pPr>
              <w:spacing w:after="0"/>
              <w:rPr>
                <w:sz w:val="11"/>
                <w:szCs w:val="11"/>
                <w:color w:val="auto"/>
              </w:rPr>
            </w:pPr>
          </w:p>
        </w:tc>
        <w:tc>
          <w:tcPr>
            <w:tcW w:w="1000" w:type="dxa"/>
            <w:vAlign w:val="bottom"/>
          </w:tcPr>
          <w:p>
            <w:pPr>
              <w:jc w:val="right"/>
              <w:ind w:right="309"/>
              <w:spacing w:after="0" w:line="128" w:lineRule="exact"/>
              <w:rPr>
                <w:sz w:val="20"/>
                <w:szCs w:val="20"/>
                <w:color w:val="auto"/>
              </w:rPr>
            </w:pPr>
            <w:r>
              <w:rPr>
                <w:rFonts w:ascii="Arial" w:cs="Arial" w:eastAsia="Arial" w:hAnsi="Arial"/>
                <w:sz w:val="13"/>
                <w:szCs w:val="13"/>
                <w:b w:val="1"/>
                <w:bCs w:val="1"/>
                <w:color w:val="auto"/>
                <w:w w:val="74"/>
              </w:rPr>
              <w:t>percentages)</w:t>
            </w: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Revenues</w:t>
            </w:r>
          </w:p>
        </w:tc>
        <w:tc>
          <w:tcPr>
            <w:tcW w:w="1220" w:type="dxa"/>
            <w:vAlign w:val="bottom"/>
          </w:tcPr>
          <w:p>
            <w:pPr>
              <w:jc w:val="right"/>
              <w:ind w:right="322"/>
              <w:spacing w:after="0"/>
              <w:rPr>
                <w:sz w:val="20"/>
                <w:szCs w:val="20"/>
                <w:color w:val="auto"/>
              </w:rPr>
            </w:pPr>
            <w:r>
              <w:rPr>
                <w:rFonts w:ascii="Arial" w:cs="Arial" w:eastAsia="Arial" w:hAnsi="Arial"/>
                <w:sz w:val="18"/>
                <w:szCs w:val="18"/>
                <w:color w:val="auto"/>
              </w:rPr>
              <w:t>$248.3</w:t>
            </w:r>
          </w:p>
        </w:tc>
        <w:tc>
          <w:tcPr>
            <w:tcW w:w="1720" w:type="dxa"/>
            <w:vAlign w:val="bottom"/>
            <w:gridSpan w:val="2"/>
          </w:tcPr>
          <w:p>
            <w:pPr>
              <w:jc w:val="right"/>
              <w:ind w:right="328"/>
              <w:spacing w:after="0"/>
              <w:rPr>
                <w:sz w:val="20"/>
                <w:szCs w:val="20"/>
                <w:color w:val="auto"/>
              </w:rPr>
            </w:pPr>
            <w:r>
              <w:rPr>
                <w:rFonts w:ascii="Arial" w:cs="Arial" w:eastAsia="Arial" w:hAnsi="Arial"/>
                <w:sz w:val="18"/>
                <w:szCs w:val="18"/>
                <w:color w:val="auto"/>
              </w:rPr>
              <w:t>$231.5</w:t>
            </w:r>
          </w:p>
        </w:tc>
        <w:tc>
          <w:tcPr>
            <w:tcW w:w="1500" w:type="dxa"/>
            <w:vAlign w:val="bottom"/>
            <w:gridSpan w:val="2"/>
          </w:tcPr>
          <w:p>
            <w:pPr>
              <w:jc w:val="right"/>
              <w:ind w:right="269"/>
              <w:spacing w:after="0"/>
              <w:rPr>
                <w:sz w:val="20"/>
                <w:szCs w:val="20"/>
                <w:color w:val="auto"/>
              </w:rPr>
            </w:pPr>
            <w:r>
              <w:rPr>
                <w:rFonts w:ascii="Arial" w:cs="Arial" w:eastAsia="Arial" w:hAnsi="Arial"/>
                <w:sz w:val="18"/>
                <w:szCs w:val="18"/>
                <w:color w:val="auto"/>
              </w:rPr>
              <w:t>$16.8</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Our commercial networks segment revenue growth was primarily derived from higher consumer broadband sales of approximately $23.7 million combined with $14.8 million in higher sales from our antenna systems products. These increases were offset by a $25.3 million reduction in enterprise VSAT product sales generating total year over year commercial networks segment increases of $16.8 million.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580" w:type="dxa"/>
            <w:vAlign w:val="bottom"/>
            <w:gridSpan w:val="3"/>
            <w:vMerge w:val="restart"/>
          </w:tcPr>
          <w:p>
            <w:pPr>
              <w:jc w:val="right"/>
              <w:ind w:right="828"/>
              <w:spacing w:after="0"/>
              <w:rPr>
                <w:sz w:val="20"/>
                <w:szCs w:val="20"/>
                <w:color w:val="auto"/>
              </w:rPr>
            </w:pPr>
            <w:r>
              <w:rPr>
                <w:rFonts w:ascii="Arial" w:cs="Arial" w:eastAsia="Arial" w:hAnsi="Arial"/>
                <w:sz w:val="14"/>
                <w:szCs w:val="14"/>
                <w:b w:val="1"/>
                <w:bCs w:val="1"/>
                <w:color w:val="auto"/>
              </w:rPr>
              <w:t>Years Ended</w:t>
            </w:r>
          </w:p>
        </w:tc>
        <w:tc>
          <w:tcPr>
            <w:tcW w:w="5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780" w:type="dxa"/>
            <w:vAlign w:val="bottom"/>
          </w:tcPr>
          <w:p>
            <w:pPr>
              <w:spacing w:after="0"/>
              <w:rPr>
                <w:sz w:val="13"/>
                <w:szCs w:val="13"/>
                <w:color w:val="auto"/>
              </w:rPr>
            </w:pPr>
          </w:p>
        </w:tc>
        <w:tc>
          <w:tcPr>
            <w:tcW w:w="2580" w:type="dxa"/>
            <w:vAlign w:val="bottom"/>
            <w:tcBorders>
              <w:bottom w:val="single" w:sz="8" w:color="auto"/>
            </w:tcBorders>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2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March 28, 2008</w:t>
            </w: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March 30, 2007</w:t>
            </w: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jc w:val="right"/>
              <w:spacing w:after="0" w:line="128" w:lineRule="exact"/>
              <w:rPr>
                <w:sz w:val="20"/>
                <w:szCs w:val="20"/>
                <w:color w:val="auto"/>
              </w:rPr>
            </w:pPr>
            <w:r>
              <w:rPr>
                <w:rFonts w:ascii="Arial" w:cs="Arial" w:eastAsia="Arial" w:hAnsi="Arial"/>
                <w:sz w:val="14"/>
                <w:szCs w:val="14"/>
                <w:b w:val="1"/>
                <w:bCs w:val="1"/>
                <w:color w:val="auto"/>
              </w:rPr>
              <w:t>(In millions,</w:t>
            </w:r>
          </w:p>
        </w:tc>
        <w:tc>
          <w:tcPr>
            <w:tcW w:w="560" w:type="dxa"/>
            <w:vAlign w:val="bottom"/>
            <w:vMerge w:val="continue"/>
          </w:tcPr>
          <w:p>
            <w:pPr>
              <w:spacing w:after="0"/>
              <w:rPr>
                <w:sz w:val="11"/>
                <w:szCs w:val="11"/>
                <w:color w:val="auto"/>
              </w:rPr>
            </w:pPr>
          </w:p>
        </w:tc>
        <w:tc>
          <w:tcPr>
            <w:tcW w:w="900" w:type="dxa"/>
            <w:vAlign w:val="bottom"/>
          </w:tcPr>
          <w:p>
            <w:pPr>
              <w:jc w:val="right"/>
              <w:ind w:right="188"/>
              <w:spacing w:after="0" w:line="128" w:lineRule="exact"/>
              <w:rPr>
                <w:sz w:val="20"/>
                <w:szCs w:val="20"/>
                <w:color w:val="auto"/>
              </w:rPr>
            </w:pPr>
            <w:r>
              <w:rPr>
                <w:rFonts w:ascii="Arial" w:cs="Arial" w:eastAsia="Arial" w:hAnsi="Arial"/>
                <w:sz w:val="14"/>
                <w:szCs w:val="14"/>
                <w:b w:val="1"/>
                <w:bCs w:val="1"/>
                <w:color w:val="auto"/>
                <w:w w:val="71"/>
              </w:rPr>
              <w:t>percentages)</w:t>
            </w: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1040" w:type="dxa"/>
            <w:vAlign w:val="bottom"/>
          </w:tcPr>
          <w:p>
            <w:pPr>
              <w:jc w:val="right"/>
              <w:ind w:right="339"/>
              <w:spacing w:after="0"/>
              <w:rPr>
                <w:sz w:val="20"/>
                <w:szCs w:val="20"/>
                <w:color w:val="auto"/>
              </w:rPr>
            </w:pPr>
            <w:r>
              <w:rPr>
                <w:rFonts w:ascii="Arial" w:cs="Arial" w:eastAsia="Arial" w:hAnsi="Arial"/>
                <w:sz w:val="18"/>
                <w:szCs w:val="18"/>
                <w:color w:val="auto"/>
              </w:rPr>
              <w:t>$9.8</w:t>
            </w:r>
          </w:p>
        </w:tc>
        <w:tc>
          <w:tcPr>
            <w:tcW w:w="1540" w:type="dxa"/>
            <w:vAlign w:val="bottom"/>
            <w:gridSpan w:val="2"/>
          </w:tcPr>
          <w:p>
            <w:pPr>
              <w:jc w:val="right"/>
              <w:ind w:right="348"/>
              <w:spacing w:after="0"/>
              <w:rPr>
                <w:sz w:val="20"/>
                <w:szCs w:val="20"/>
                <w:color w:val="auto"/>
              </w:rPr>
            </w:pPr>
            <w:r>
              <w:rPr>
                <w:rFonts w:ascii="Arial" w:cs="Arial" w:eastAsia="Arial" w:hAnsi="Arial"/>
                <w:sz w:val="18"/>
                <w:szCs w:val="18"/>
                <w:color w:val="auto"/>
              </w:rPr>
              <w:t>$4.3</w:t>
            </w:r>
          </w:p>
        </w:tc>
        <w:tc>
          <w:tcPr>
            <w:tcW w:w="1460" w:type="dxa"/>
            <w:vAlign w:val="bottom"/>
            <w:gridSpan w:val="2"/>
          </w:tcPr>
          <w:p>
            <w:pPr>
              <w:jc w:val="right"/>
              <w:ind w:right="268"/>
              <w:spacing w:after="0"/>
              <w:rPr>
                <w:sz w:val="20"/>
                <w:szCs w:val="20"/>
                <w:color w:val="auto"/>
              </w:rPr>
            </w:pPr>
            <w:r>
              <w:rPr>
                <w:rFonts w:ascii="Arial" w:cs="Arial" w:eastAsia="Arial" w:hAnsi="Arial"/>
                <w:sz w:val="18"/>
                <w:szCs w:val="18"/>
                <w:color w:val="auto"/>
              </w:rPr>
              <w:t>$5.5</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40" w:type="dxa"/>
            <w:vAlign w:val="bottom"/>
          </w:tcPr>
          <w:p>
            <w:pPr>
              <w:jc w:val="right"/>
              <w:ind w:right="179"/>
              <w:spacing w:after="0"/>
              <w:rPr>
                <w:sz w:val="20"/>
                <w:szCs w:val="20"/>
                <w:color w:val="auto"/>
              </w:rPr>
            </w:pPr>
            <w:r>
              <w:rPr>
                <w:rFonts w:ascii="Arial" w:cs="Arial" w:eastAsia="Arial" w:hAnsi="Arial"/>
                <w:sz w:val="18"/>
                <w:szCs w:val="18"/>
                <w:color w:val="auto"/>
              </w:rPr>
              <w:t>3.9%</w:t>
            </w:r>
          </w:p>
        </w:tc>
        <w:tc>
          <w:tcPr>
            <w:tcW w:w="1540" w:type="dxa"/>
            <w:vAlign w:val="bottom"/>
            <w:gridSpan w:val="2"/>
          </w:tcPr>
          <w:p>
            <w:pPr>
              <w:jc w:val="right"/>
              <w:ind w:right="188"/>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firstLine="225"/>
        <w:spacing w:after="0" w:line="312" w:lineRule="auto"/>
        <w:rPr>
          <w:sz w:val="20"/>
          <w:szCs w:val="20"/>
          <w:color w:val="auto"/>
        </w:rPr>
      </w:pPr>
      <w:r>
        <w:rPr>
          <w:rFonts w:ascii="Arial" w:cs="Arial" w:eastAsia="Arial" w:hAnsi="Arial"/>
          <w:sz w:val="16"/>
          <w:szCs w:val="16"/>
          <w:color w:val="auto"/>
        </w:rPr>
        <w:t>Operating profit increases of $5.5 million in our commercial network segment were primarily driven by improved performance of consumer broadband products which contributed to product cost reductions of approximately $6.7 million year over year. This was offset by a decrease in operating profit associated with reduced enterprise VSAT product sales and an increase in non-cash stock based compensation expense of approximately $1.3 million.</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620" w:type="dxa"/>
            <w:vAlign w:val="bottom"/>
            <w:gridSpan w:val="3"/>
            <w:vMerge w:val="restart"/>
          </w:tcPr>
          <w:p>
            <w:pPr>
              <w:jc w:val="right"/>
              <w:ind w:right="848"/>
              <w:spacing w:after="0"/>
              <w:rPr>
                <w:sz w:val="20"/>
                <w:szCs w:val="20"/>
                <w:color w:val="auto"/>
              </w:rPr>
            </w:pPr>
            <w:r>
              <w:rPr>
                <w:rFonts w:ascii="Arial" w:cs="Arial" w:eastAsia="Arial" w:hAnsi="Arial"/>
                <w:sz w:val="14"/>
                <w:szCs w:val="14"/>
                <w:b w:val="1"/>
                <w:bCs w:val="1"/>
                <w:color w:val="auto"/>
              </w:rPr>
              <w:t>Years Ended</w:t>
            </w:r>
          </w:p>
        </w:tc>
        <w:tc>
          <w:tcPr>
            <w:tcW w:w="5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900" w:type="dxa"/>
            <w:vAlign w:val="bottom"/>
          </w:tcPr>
          <w:p>
            <w:pPr>
              <w:spacing w:after="0"/>
              <w:rPr>
                <w:sz w:val="13"/>
                <w:szCs w:val="13"/>
                <w:color w:val="auto"/>
              </w:rPr>
            </w:pPr>
          </w:p>
        </w:tc>
        <w:tc>
          <w:tcPr>
            <w:tcW w:w="2620" w:type="dxa"/>
            <w:vAlign w:val="bottom"/>
            <w:tcBorders>
              <w:bottom w:val="single" w:sz="8" w:color="auto"/>
            </w:tcBorders>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4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March 28, 2008</w:t>
            </w:r>
          </w:p>
        </w:tc>
        <w:tc>
          <w:tcPr>
            <w:tcW w:w="54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March 30, 2007</w:t>
            </w: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54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jc w:val="right"/>
              <w:spacing w:after="0" w:line="128" w:lineRule="exact"/>
              <w:rPr>
                <w:sz w:val="20"/>
                <w:szCs w:val="20"/>
                <w:color w:val="auto"/>
              </w:rPr>
            </w:pPr>
            <w:r>
              <w:rPr>
                <w:rFonts w:ascii="Arial" w:cs="Arial" w:eastAsia="Arial" w:hAnsi="Arial"/>
                <w:sz w:val="14"/>
                <w:szCs w:val="14"/>
                <w:b w:val="1"/>
                <w:bCs w:val="1"/>
                <w:color w:val="auto"/>
              </w:rPr>
              <w:t>(In millions,</w:t>
            </w:r>
          </w:p>
        </w:tc>
        <w:tc>
          <w:tcPr>
            <w:tcW w:w="560" w:type="dxa"/>
            <w:vAlign w:val="bottom"/>
            <w:vMerge w:val="continue"/>
          </w:tcPr>
          <w:p>
            <w:pPr>
              <w:spacing w:after="0"/>
              <w:rPr>
                <w:sz w:val="11"/>
                <w:szCs w:val="11"/>
                <w:color w:val="auto"/>
              </w:rPr>
            </w:pPr>
          </w:p>
        </w:tc>
        <w:tc>
          <w:tcPr>
            <w:tcW w:w="900" w:type="dxa"/>
            <w:vAlign w:val="bottom"/>
          </w:tcPr>
          <w:p>
            <w:pPr>
              <w:jc w:val="right"/>
              <w:ind w:right="188"/>
              <w:spacing w:after="0" w:line="128" w:lineRule="exact"/>
              <w:rPr>
                <w:sz w:val="20"/>
                <w:szCs w:val="20"/>
                <w:color w:val="auto"/>
              </w:rPr>
            </w:pPr>
            <w:r>
              <w:rPr>
                <w:rFonts w:ascii="Arial" w:cs="Arial" w:eastAsia="Arial" w:hAnsi="Arial"/>
                <w:sz w:val="14"/>
                <w:szCs w:val="14"/>
                <w:b w:val="1"/>
                <w:bCs w:val="1"/>
                <w:color w:val="auto"/>
                <w:w w:val="71"/>
              </w:rPr>
              <w:t>percentages)</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Revenues</w:t>
            </w:r>
          </w:p>
        </w:tc>
        <w:tc>
          <w:tcPr>
            <w:tcW w:w="1040" w:type="dxa"/>
            <w:vAlign w:val="bottom"/>
          </w:tcPr>
          <w:p>
            <w:pPr>
              <w:jc w:val="right"/>
              <w:ind w:right="322"/>
              <w:spacing w:after="0"/>
              <w:rPr>
                <w:sz w:val="20"/>
                <w:szCs w:val="20"/>
                <w:color w:val="auto"/>
              </w:rPr>
            </w:pPr>
            <w:r>
              <w:rPr>
                <w:rFonts w:ascii="Arial" w:cs="Arial" w:eastAsia="Arial" w:hAnsi="Arial"/>
                <w:sz w:val="18"/>
                <w:szCs w:val="18"/>
                <w:color w:val="auto"/>
              </w:rPr>
              <w:t>$6.8</w:t>
            </w:r>
          </w:p>
        </w:tc>
        <w:tc>
          <w:tcPr>
            <w:tcW w:w="1580" w:type="dxa"/>
            <w:vAlign w:val="bottom"/>
            <w:gridSpan w:val="2"/>
          </w:tcPr>
          <w:p>
            <w:pPr>
              <w:jc w:val="right"/>
              <w:ind w:right="328"/>
              <w:spacing w:after="0"/>
              <w:rPr>
                <w:sz w:val="20"/>
                <w:szCs w:val="20"/>
                <w:color w:val="auto"/>
              </w:rPr>
            </w:pPr>
            <w:r>
              <w:rPr>
                <w:rFonts w:ascii="Arial" w:cs="Arial" w:eastAsia="Arial" w:hAnsi="Arial"/>
                <w:sz w:val="18"/>
                <w:szCs w:val="18"/>
                <w:color w:val="auto"/>
              </w:rPr>
              <w:t>$6.7</w:t>
            </w:r>
          </w:p>
        </w:tc>
        <w:tc>
          <w:tcPr>
            <w:tcW w:w="1460" w:type="dxa"/>
            <w:vAlign w:val="bottom"/>
            <w:gridSpan w:val="2"/>
          </w:tcPr>
          <w:p>
            <w:pPr>
              <w:jc w:val="right"/>
              <w:ind w:right="248"/>
              <w:spacing w:after="0"/>
              <w:rPr>
                <w:sz w:val="20"/>
                <w:szCs w:val="20"/>
                <w:color w:val="auto"/>
              </w:rPr>
            </w:pPr>
            <w:r>
              <w:rPr>
                <w:rFonts w:ascii="Arial" w:cs="Arial" w:eastAsia="Arial" w:hAnsi="Arial"/>
                <w:sz w:val="18"/>
                <w:szCs w:val="18"/>
                <w:color w:val="auto"/>
              </w:rPr>
              <w:t>$0.1</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Our emerging satellite services segment experienced revenues relatively flat year over year. These revenues were primarily derived from service arrangements supporting both the mobile broadband and enterprise managed networks services markets.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860" w:type="dxa"/>
            <w:vAlign w:val="bottom"/>
            <w:gridSpan w:val="3"/>
            <w:vMerge w:val="restart"/>
          </w:tcPr>
          <w:p>
            <w:pPr>
              <w:jc w:val="right"/>
              <w:ind w:right="968"/>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560" w:type="dxa"/>
            <w:vAlign w:val="bottom"/>
          </w:tcPr>
          <w:p>
            <w:pPr>
              <w:spacing w:after="0"/>
              <w:rPr>
                <w:sz w:val="13"/>
                <w:szCs w:val="13"/>
                <w:color w:val="auto"/>
              </w:rPr>
            </w:pPr>
          </w:p>
        </w:tc>
        <w:tc>
          <w:tcPr>
            <w:tcW w:w="2860" w:type="dxa"/>
            <w:vAlign w:val="bottom"/>
            <w:tcBorders>
              <w:bottom w:val="single" w:sz="8" w:color="auto"/>
            </w:tcBorders>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48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1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11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30, 2007</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jc w:val="right"/>
              <w:ind w:right="28"/>
              <w:spacing w:after="0" w:line="128" w:lineRule="exact"/>
              <w:rPr>
                <w:sz w:val="20"/>
                <w:szCs w:val="20"/>
                <w:color w:val="auto"/>
              </w:rPr>
            </w:pPr>
            <w:r>
              <w:rPr>
                <w:rFonts w:ascii="Arial" w:cs="Arial" w:eastAsia="Arial" w:hAnsi="Arial"/>
                <w:sz w:val="14"/>
                <w:szCs w:val="14"/>
                <w:b w:val="1"/>
                <w:bCs w:val="1"/>
                <w:color w:val="auto"/>
              </w:rPr>
              <w:t>(In millions,</w:t>
            </w:r>
          </w:p>
        </w:tc>
        <w:tc>
          <w:tcPr>
            <w:tcW w:w="480" w:type="dxa"/>
            <w:vAlign w:val="bottom"/>
            <w:vMerge w:val="continue"/>
          </w:tcPr>
          <w:p>
            <w:pPr>
              <w:spacing w:after="0"/>
              <w:rPr>
                <w:sz w:val="11"/>
                <w:szCs w:val="11"/>
                <w:color w:val="auto"/>
              </w:rPr>
            </w:pPr>
          </w:p>
        </w:tc>
        <w:tc>
          <w:tcPr>
            <w:tcW w:w="980" w:type="dxa"/>
            <w:vAlign w:val="bottom"/>
          </w:tcPr>
          <w:p>
            <w:pPr>
              <w:spacing w:after="0" w:line="128" w:lineRule="exact"/>
              <w:rPr>
                <w:sz w:val="20"/>
                <w:szCs w:val="20"/>
                <w:color w:val="auto"/>
              </w:rPr>
            </w:pPr>
            <w:r>
              <w:rPr>
                <w:rFonts w:ascii="Arial" w:cs="Arial" w:eastAsia="Arial" w:hAnsi="Arial"/>
                <w:sz w:val="14"/>
                <w:szCs w:val="14"/>
                <w:b w:val="1"/>
                <w:bCs w:val="1"/>
                <w:color w:val="auto"/>
              </w:rPr>
              <w:t>percentages)</w:t>
            </w: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180" w:type="dxa"/>
            <w:vAlign w:val="bottom"/>
          </w:tcPr>
          <w:p>
            <w:pPr>
              <w:jc w:val="right"/>
              <w:ind w:right="259"/>
              <w:spacing w:after="0"/>
              <w:rPr>
                <w:sz w:val="20"/>
                <w:szCs w:val="20"/>
                <w:color w:val="auto"/>
              </w:rPr>
            </w:pPr>
            <w:r>
              <w:rPr>
                <w:rFonts w:ascii="Arial" w:cs="Arial" w:eastAsia="Arial" w:hAnsi="Arial"/>
                <w:sz w:val="18"/>
                <w:szCs w:val="18"/>
                <w:color w:val="auto"/>
              </w:rPr>
              <w:t>$ (2.9)</w:t>
            </w:r>
          </w:p>
        </w:tc>
        <w:tc>
          <w:tcPr>
            <w:tcW w:w="1680" w:type="dxa"/>
            <w:vAlign w:val="bottom"/>
            <w:gridSpan w:val="2"/>
          </w:tcPr>
          <w:p>
            <w:pPr>
              <w:jc w:val="right"/>
              <w:ind w:right="268"/>
              <w:spacing w:after="0"/>
              <w:rPr>
                <w:sz w:val="20"/>
                <w:szCs w:val="20"/>
                <w:color w:val="auto"/>
              </w:rPr>
            </w:pPr>
            <w:r>
              <w:rPr>
                <w:rFonts w:ascii="Arial" w:cs="Arial" w:eastAsia="Arial" w:hAnsi="Arial"/>
                <w:sz w:val="18"/>
                <w:szCs w:val="18"/>
                <w:color w:val="auto"/>
              </w:rPr>
              <w:t>$ (1.7)</w:t>
            </w:r>
          </w:p>
        </w:tc>
        <w:tc>
          <w:tcPr>
            <w:tcW w:w="1460" w:type="dxa"/>
            <w:vAlign w:val="bottom"/>
            <w:gridSpan w:val="2"/>
          </w:tcPr>
          <w:p>
            <w:pPr>
              <w:jc w:val="center"/>
              <w:ind w:left="379"/>
              <w:spacing w:after="0"/>
              <w:rPr>
                <w:sz w:val="20"/>
                <w:szCs w:val="20"/>
                <w:color w:val="auto"/>
              </w:rPr>
            </w:pPr>
            <w:r>
              <w:rPr>
                <w:rFonts w:ascii="Arial" w:cs="Arial" w:eastAsia="Arial" w:hAnsi="Arial"/>
                <w:sz w:val="18"/>
                <w:szCs w:val="18"/>
                <w:color w:val="auto"/>
                <w:w w:val="93"/>
              </w:rPr>
              <w:t>$(1.2)</w:t>
            </w:r>
          </w:p>
        </w:tc>
        <w:tc>
          <w:tcPr>
            <w:tcW w:w="1540" w:type="dxa"/>
            <w:vAlign w:val="bottom"/>
            <w:gridSpan w:val="2"/>
          </w:tcPr>
          <w:p>
            <w:pPr>
              <w:jc w:val="right"/>
              <w:ind w:right="48"/>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(41.8)%</w:t>
            </w:r>
          </w:p>
        </w:tc>
        <w:tc>
          <w:tcPr>
            <w:tcW w:w="1680" w:type="dxa"/>
            <w:vAlign w:val="bottom"/>
            <w:gridSpan w:val="2"/>
          </w:tcPr>
          <w:p>
            <w:pPr>
              <w:jc w:val="right"/>
              <w:ind w:right="128"/>
              <w:spacing w:after="0"/>
              <w:rPr>
                <w:sz w:val="20"/>
                <w:szCs w:val="20"/>
                <w:color w:val="auto"/>
              </w:rPr>
            </w:pPr>
            <w:r>
              <w:rPr>
                <w:rFonts w:ascii="Arial" w:cs="Arial" w:eastAsia="Arial" w:hAnsi="Arial"/>
                <w:sz w:val="18"/>
                <w:szCs w:val="18"/>
                <w:color w:val="auto"/>
              </w:rPr>
              <w:t>(25.4)%</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increase in satellite services segment operating losses of $1.2 million was primarily driven by the write off of a certain receivable due to a customer bankruptcy in our managed broadband services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2007 Compared to Fiscal Year 2006</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900" w:type="dxa"/>
            <w:vAlign w:val="bottom"/>
            <w:gridSpan w:val="3"/>
            <w:vMerge w:val="restart"/>
          </w:tcPr>
          <w:p>
            <w:pPr>
              <w:jc w:val="right"/>
              <w:ind w:right="988"/>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540" w:type="dxa"/>
            <w:vAlign w:val="bottom"/>
          </w:tcPr>
          <w:p>
            <w:pPr>
              <w:spacing w:after="0"/>
              <w:rPr>
                <w:sz w:val="13"/>
                <w:szCs w:val="13"/>
                <w:color w:val="auto"/>
              </w:rPr>
            </w:pPr>
          </w:p>
        </w:tc>
        <w:tc>
          <w:tcPr>
            <w:tcW w:w="2900" w:type="dxa"/>
            <w:vAlign w:val="bottom"/>
            <w:tcBorders>
              <w:bottom w:val="single" w:sz="8" w:color="auto"/>
            </w:tcBorders>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4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2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March 30, 2007</w:t>
            </w:r>
          </w:p>
        </w:tc>
        <w:tc>
          <w:tcPr>
            <w:tcW w:w="500" w:type="dxa"/>
            <w:vAlign w:val="bottom"/>
          </w:tcPr>
          <w:p>
            <w:pPr>
              <w:spacing w:after="0"/>
              <w:rPr>
                <w:sz w:val="12"/>
                <w:szCs w:val="12"/>
                <w:color w:val="auto"/>
              </w:rPr>
            </w:pPr>
          </w:p>
        </w:tc>
        <w:tc>
          <w:tcPr>
            <w:tcW w:w="1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31, 2006</w:t>
            </w: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jc w:val="right"/>
              <w:ind w:right="28"/>
              <w:spacing w:after="0" w:line="128" w:lineRule="exact"/>
              <w:rPr>
                <w:sz w:val="20"/>
                <w:szCs w:val="20"/>
                <w:color w:val="auto"/>
              </w:rPr>
            </w:pPr>
            <w:r>
              <w:rPr>
                <w:rFonts w:ascii="Arial" w:cs="Arial" w:eastAsia="Arial" w:hAnsi="Arial"/>
                <w:sz w:val="14"/>
                <w:szCs w:val="14"/>
                <w:b w:val="1"/>
                <w:bCs w:val="1"/>
                <w:color w:val="auto"/>
              </w:rPr>
              <w:t>(In millions,</w:t>
            </w:r>
          </w:p>
        </w:tc>
        <w:tc>
          <w:tcPr>
            <w:tcW w:w="500" w:type="dxa"/>
            <w:vAlign w:val="bottom"/>
            <w:vMerge w:val="continue"/>
          </w:tcPr>
          <w:p>
            <w:pPr>
              <w:spacing w:after="0"/>
              <w:rPr>
                <w:sz w:val="11"/>
                <w:szCs w:val="11"/>
                <w:color w:val="auto"/>
              </w:rPr>
            </w:pPr>
          </w:p>
        </w:tc>
        <w:tc>
          <w:tcPr>
            <w:tcW w:w="1000" w:type="dxa"/>
            <w:vAlign w:val="bottom"/>
          </w:tcPr>
          <w:p>
            <w:pPr>
              <w:jc w:val="right"/>
              <w:ind w:right="288"/>
              <w:spacing w:after="0" w:line="128" w:lineRule="exact"/>
              <w:rPr>
                <w:sz w:val="20"/>
                <w:szCs w:val="20"/>
                <w:color w:val="auto"/>
              </w:rPr>
            </w:pPr>
            <w:r>
              <w:rPr>
                <w:rFonts w:ascii="Arial" w:cs="Arial" w:eastAsia="Arial" w:hAnsi="Arial"/>
                <w:sz w:val="14"/>
                <w:szCs w:val="14"/>
                <w:b w:val="1"/>
                <w:bCs w:val="1"/>
                <w:color w:val="auto"/>
                <w:w w:val="71"/>
              </w:rPr>
              <w:t>percentages)</w:t>
            </w: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Revenues</w:t>
            </w:r>
          </w:p>
        </w:tc>
        <w:tc>
          <w:tcPr>
            <w:tcW w:w="1200" w:type="dxa"/>
            <w:vAlign w:val="bottom"/>
          </w:tcPr>
          <w:p>
            <w:pPr>
              <w:jc w:val="right"/>
              <w:ind w:right="322"/>
              <w:spacing w:after="0"/>
              <w:rPr>
                <w:sz w:val="20"/>
                <w:szCs w:val="20"/>
                <w:color w:val="auto"/>
              </w:rPr>
            </w:pPr>
            <w:r>
              <w:rPr>
                <w:rFonts w:ascii="Arial" w:cs="Arial" w:eastAsia="Arial" w:hAnsi="Arial"/>
                <w:sz w:val="18"/>
                <w:szCs w:val="18"/>
                <w:color w:val="auto"/>
              </w:rPr>
              <w:t>$516.6</w:t>
            </w:r>
          </w:p>
        </w:tc>
        <w:tc>
          <w:tcPr>
            <w:tcW w:w="1700" w:type="dxa"/>
            <w:vAlign w:val="bottom"/>
            <w:gridSpan w:val="2"/>
          </w:tcPr>
          <w:p>
            <w:pPr>
              <w:jc w:val="right"/>
              <w:ind w:right="328"/>
              <w:spacing w:after="0"/>
              <w:rPr>
                <w:sz w:val="20"/>
                <w:szCs w:val="20"/>
                <w:color w:val="auto"/>
              </w:rPr>
            </w:pPr>
            <w:r>
              <w:rPr>
                <w:rFonts w:ascii="Arial" w:cs="Arial" w:eastAsia="Arial" w:hAnsi="Arial"/>
                <w:sz w:val="18"/>
                <w:szCs w:val="18"/>
                <w:color w:val="auto"/>
              </w:rPr>
              <w:t>$433.8</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$82.7</w:t>
            </w: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222"/>
        <w:spacing w:after="0" w:line="286" w:lineRule="auto"/>
        <w:rPr>
          <w:sz w:val="20"/>
          <w:szCs w:val="20"/>
          <w:color w:val="auto"/>
        </w:rPr>
      </w:pPr>
      <w:r>
        <w:rPr>
          <w:rFonts w:ascii="Arial" w:cs="Arial" w:eastAsia="Arial" w:hAnsi="Arial"/>
          <w:sz w:val="16"/>
          <w:szCs w:val="16"/>
          <w:color w:val="auto"/>
        </w:rPr>
        <w:t>The increase in revenues of $82.7 million was due to the higher customer awards received in the past two fiscal years consisting of $525.0 million in fiscal year 2007 and $443.7 million in fiscal year 2006 and the conversion of certain of those awards into revenues. Increased revenues were experienced in all three of our segments: government systems, commercial networks and satellite services. Growth was primarily derived from increased sales of approximately $27.2 million of certain government information assurance products, approximately $26.3 million of consumer broadband products sales, approximately</w:t>
      </w:r>
    </w:p>
    <w:p>
      <w:pPr>
        <w:spacing w:after="0" w:line="2"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$21.0 million of certain tactical data link products and the addition of $9.1 million in sales of video data link systems from the acquisition of Enerdyne in fiscal year 2007. These increases were offset by certain mobile broadband product sales decreasing by approximately $9.8 million.</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900" w:type="dxa"/>
            <w:vAlign w:val="bottom"/>
            <w:gridSpan w:val="3"/>
            <w:vMerge w:val="restart"/>
          </w:tcPr>
          <w:p>
            <w:pPr>
              <w:jc w:val="right"/>
              <w:ind w:right="988"/>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540" w:type="dxa"/>
            <w:vAlign w:val="bottom"/>
          </w:tcPr>
          <w:p>
            <w:pPr>
              <w:spacing w:after="0"/>
              <w:rPr>
                <w:sz w:val="13"/>
                <w:szCs w:val="13"/>
                <w:color w:val="auto"/>
              </w:rPr>
            </w:pPr>
          </w:p>
        </w:tc>
        <w:tc>
          <w:tcPr>
            <w:tcW w:w="2900" w:type="dxa"/>
            <w:vAlign w:val="bottom"/>
            <w:tcBorders>
              <w:bottom w:val="single" w:sz="8" w:color="auto"/>
            </w:tcBorders>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4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2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March 30, 2007</w:t>
            </w:r>
          </w:p>
        </w:tc>
        <w:tc>
          <w:tcPr>
            <w:tcW w:w="500" w:type="dxa"/>
            <w:vAlign w:val="bottom"/>
          </w:tcPr>
          <w:p>
            <w:pPr>
              <w:spacing w:after="0"/>
              <w:rPr>
                <w:sz w:val="12"/>
                <w:szCs w:val="12"/>
                <w:color w:val="auto"/>
              </w:rPr>
            </w:pPr>
          </w:p>
        </w:tc>
        <w:tc>
          <w:tcPr>
            <w:tcW w:w="1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31, 2006</w:t>
            </w: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jc w:val="right"/>
              <w:ind w:right="28"/>
              <w:spacing w:after="0" w:line="128" w:lineRule="exact"/>
              <w:rPr>
                <w:sz w:val="20"/>
                <w:szCs w:val="20"/>
                <w:color w:val="auto"/>
              </w:rPr>
            </w:pPr>
            <w:r>
              <w:rPr>
                <w:rFonts w:ascii="Arial" w:cs="Arial" w:eastAsia="Arial" w:hAnsi="Arial"/>
                <w:sz w:val="14"/>
                <w:szCs w:val="14"/>
                <w:b w:val="1"/>
                <w:bCs w:val="1"/>
                <w:color w:val="auto"/>
              </w:rPr>
              <w:t>(In millions,</w:t>
            </w:r>
          </w:p>
        </w:tc>
        <w:tc>
          <w:tcPr>
            <w:tcW w:w="500" w:type="dxa"/>
            <w:vAlign w:val="bottom"/>
            <w:vMerge w:val="continue"/>
          </w:tcPr>
          <w:p>
            <w:pPr>
              <w:spacing w:after="0"/>
              <w:rPr>
                <w:sz w:val="11"/>
                <w:szCs w:val="11"/>
                <w:color w:val="auto"/>
              </w:rPr>
            </w:pPr>
          </w:p>
        </w:tc>
        <w:tc>
          <w:tcPr>
            <w:tcW w:w="1000" w:type="dxa"/>
            <w:vAlign w:val="bottom"/>
          </w:tcPr>
          <w:p>
            <w:pPr>
              <w:jc w:val="right"/>
              <w:ind w:right="288"/>
              <w:spacing w:after="0" w:line="128" w:lineRule="exact"/>
              <w:rPr>
                <w:sz w:val="20"/>
                <w:szCs w:val="20"/>
                <w:color w:val="auto"/>
              </w:rPr>
            </w:pPr>
            <w:r>
              <w:rPr>
                <w:rFonts w:ascii="Arial" w:cs="Arial" w:eastAsia="Arial" w:hAnsi="Arial"/>
                <w:sz w:val="14"/>
                <w:szCs w:val="14"/>
                <w:b w:val="1"/>
                <w:bCs w:val="1"/>
                <w:color w:val="auto"/>
                <w:w w:val="71"/>
              </w:rPr>
              <w:t>percentages)</w:t>
            </w: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Cost of Revenues</w:t>
            </w:r>
          </w:p>
        </w:tc>
        <w:tc>
          <w:tcPr>
            <w:tcW w:w="1200" w:type="dxa"/>
            <w:vAlign w:val="bottom"/>
          </w:tcPr>
          <w:p>
            <w:pPr>
              <w:jc w:val="right"/>
              <w:ind w:right="319"/>
              <w:spacing w:after="0"/>
              <w:rPr>
                <w:sz w:val="20"/>
                <w:szCs w:val="20"/>
                <w:color w:val="auto"/>
              </w:rPr>
            </w:pPr>
            <w:r>
              <w:rPr>
                <w:rFonts w:ascii="Arial" w:cs="Arial" w:eastAsia="Arial" w:hAnsi="Arial"/>
                <w:sz w:val="18"/>
                <w:szCs w:val="18"/>
                <w:color w:val="auto"/>
              </w:rPr>
              <w:t>$380.1</w:t>
            </w:r>
          </w:p>
        </w:tc>
        <w:tc>
          <w:tcPr>
            <w:tcW w:w="1700" w:type="dxa"/>
            <w:vAlign w:val="bottom"/>
            <w:gridSpan w:val="2"/>
          </w:tcPr>
          <w:p>
            <w:pPr>
              <w:jc w:val="right"/>
              <w:ind w:right="328"/>
              <w:spacing w:after="0"/>
              <w:rPr>
                <w:sz w:val="20"/>
                <w:szCs w:val="20"/>
                <w:color w:val="auto"/>
              </w:rPr>
            </w:pPr>
            <w:r>
              <w:rPr>
                <w:rFonts w:ascii="Arial" w:cs="Arial" w:eastAsia="Arial" w:hAnsi="Arial"/>
                <w:sz w:val="18"/>
                <w:szCs w:val="18"/>
                <w:color w:val="auto"/>
              </w:rPr>
              <w:t>$325.3</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$54.8</w:t>
            </w: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200" w:type="dxa"/>
            <w:vAlign w:val="bottom"/>
          </w:tcPr>
          <w:p>
            <w:pPr>
              <w:jc w:val="right"/>
              <w:ind w:right="159"/>
              <w:spacing w:after="0"/>
              <w:rPr>
                <w:sz w:val="20"/>
                <w:szCs w:val="20"/>
                <w:color w:val="auto"/>
              </w:rPr>
            </w:pPr>
            <w:r>
              <w:rPr>
                <w:rFonts w:ascii="Arial" w:cs="Arial" w:eastAsia="Arial" w:hAnsi="Arial"/>
                <w:sz w:val="18"/>
                <w:szCs w:val="18"/>
                <w:color w:val="auto"/>
              </w:rPr>
              <w:t>73.6%</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75.0%</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Our cost of revenues growth from $325.3 million to $380.1 million was primarily due to our increased revenues. However, we did experience a decrease in the cost of revenues as a percent of revenues from 75.0% in the prior year to 73.6% in the current year. This improvement was primarily due to product cost reductions in our consumer broadband products totaling approximately $12.8 million for the fiscal year 2007 compared to the fiscal year 2006. These cost reductions were offset by overall product cost of revenue increases totaling approximately $9.8 million in our government systems segment and approximately $2.5 million from our antenna systems products. Cost of revenues for the fiscal year 2007 included approximately $1.8 million in stock based compensation expense and $701,000 related to the accelerated vesting of certain employee stock options in fiscal year 2006. Cost of revenues may fluctuate in future quarters depending on the mix of products sold and services provided, competition, new product introduction costs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760" w:type="dxa"/>
            <w:vAlign w:val="bottom"/>
            <w:gridSpan w:val="3"/>
            <w:vMerge w:val="restart"/>
          </w:tcPr>
          <w:p>
            <w:pPr>
              <w:jc w:val="right"/>
              <w:ind w:right="928"/>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680" w:type="dxa"/>
            <w:vAlign w:val="bottom"/>
          </w:tcPr>
          <w:p>
            <w:pPr>
              <w:spacing w:after="0"/>
              <w:rPr>
                <w:sz w:val="13"/>
                <w:szCs w:val="13"/>
                <w:color w:val="auto"/>
              </w:rPr>
            </w:pPr>
          </w:p>
        </w:tc>
        <w:tc>
          <w:tcPr>
            <w:tcW w:w="2760" w:type="dxa"/>
            <w:vAlign w:val="bottom"/>
            <w:tcBorders>
              <w:bottom w:val="single" w:sz="8" w:color="auto"/>
            </w:tcBorders>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114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March 30, 2007</w:t>
            </w:r>
          </w:p>
        </w:tc>
        <w:tc>
          <w:tcPr>
            <w:tcW w:w="480" w:type="dxa"/>
            <w:vAlign w:val="bottom"/>
          </w:tcPr>
          <w:p>
            <w:pPr>
              <w:spacing w:after="0"/>
              <w:rPr>
                <w:sz w:val="12"/>
                <w:szCs w:val="12"/>
                <w:color w:val="auto"/>
              </w:rPr>
            </w:pPr>
          </w:p>
        </w:tc>
        <w:tc>
          <w:tcPr>
            <w:tcW w:w="11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March 31, 2006</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jc w:val="right"/>
              <w:ind w:right="8"/>
              <w:spacing w:after="0" w:line="128" w:lineRule="exact"/>
              <w:rPr>
                <w:sz w:val="20"/>
                <w:szCs w:val="20"/>
                <w:color w:val="auto"/>
              </w:rPr>
            </w:pPr>
            <w:r>
              <w:rPr>
                <w:rFonts w:ascii="Arial" w:cs="Arial" w:eastAsia="Arial" w:hAnsi="Arial"/>
                <w:sz w:val="14"/>
                <w:szCs w:val="14"/>
                <w:b w:val="1"/>
                <w:bCs w:val="1"/>
                <w:color w:val="auto"/>
              </w:rPr>
              <w:t>(In millions,</w:t>
            </w:r>
          </w:p>
        </w:tc>
        <w:tc>
          <w:tcPr>
            <w:tcW w:w="480" w:type="dxa"/>
            <w:vAlign w:val="bottom"/>
            <w:vMerge w:val="continue"/>
          </w:tcPr>
          <w:p>
            <w:pPr>
              <w:spacing w:after="0"/>
              <w:rPr>
                <w:sz w:val="11"/>
                <w:szCs w:val="11"/>
                <w:color w:val="auto"/>
              </w:rPr>
            </w:pPr>
          </w:p>
        </w:tc>
        <w:tc>
          <w:tcPr>
            <w:tcW w:w="1000" w:type="dxa"/>
            <w:vAlign w:val="bottom"/>
          </w:tcPr>
          <w:p>
            <w:pPr>
              <w:jc w:val="right"/>
              <w:ind w:right="248"/>
              <w:spacing w:after="0" w:line="128" w:lineRule="exact"/>
              <w:rPr>
                <w:sz w:val="20"/>
                <w:szCs w:val="20"/>
                <w:color w:val="auto"/>
              </w:rPr>
            </w:pPr>
            <w:r>
              <w:rPr>
                <w:rFonts w:ascii="Arial" w:cs="Arial" w:eastAsia="Arial" w:hAnsi="Arial"/>
                <w:sz w:val="14"/>
                <w:szCs w:val="14"/>
                <w:b w:val="1"/>
                <w:bCs w:val="1"/>
                <w:color w:val="auto"/>
                <w:w w:val="75"/>
              </w:rPr>
              <w:t>percentages)</w:t>
            </w: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jc w:val="right"/>
              <w:ind w:right="339"/>
              <w:spacing w:after="0"/>
              <w:rPr>
                <w:sz w:val="20"/>
                <w:szCs w:val="20"/>
                <w:color w:val="auto"/>
              </w:rPr>
            </w:pPr>
            <w:r>
              <w:rPr>
                <w:rFonts w:ascii="Arial" w:cs="Arial" w:eastAsia="Arial" w:hAnsi="Arial"/>
                <w:sz w:val="18"/>
                <w:szCs w:val="18"/>
                <w:color w:val="auto"/>
              </w:rPr>
              <w:t>$69.9</w:t>
            </w:r>
          </w:p>
        </w:tc>
        <w:tc>
          <w:tcPr>
            <w:tcW w:w="1620" w:type="dxa"/>
            <w:vAlign w:val="bottom"/>
            <w:gridSpan w:val="2"/>
          </w:tcPr>
          <w:p>
            <w:pPr>
              <w:jc w:val="right"/>
              <w:ind w:right="328"/>
              <w:spacing w:after="0"/>
              <w:rPr>
                <w:sz w:val="20"/>
                <w:szCs w:val="20"/>
                <w:color w:val="auto"/>
              </w:rPr>
            </w:pPr>
            <w:r>
              <w:rPr>
                <w:rFonts w:ascii="Arial" w:cs="Arial" w:eastAsia="Arial" w:hAnsi="Arial"/>
                <w:sz w:val="18"/>
                <w:szCs w:val="18"/>
                <w:color w:val="auto"/>
              </w:rPr>
              <w:t>$57.1</w:t>
            </w:r>
          </w:p>
        </w:tc>
        <w:tc>
          <w:tcPr>
            <w:tcW w:w="1480" w:type="dxa"/>
            <w:vAlign w:val="bottom"/>
            <w:gridSpan w:val="2"/>
          </w:tcPr>
          <w:p>
            <w:pPr>
              <w:jc w:val="right"/>
              <w:ind w:right="268"/>
              <w:spacing w:after="0"/>
              <w:rPr>
                <w:sz w:val="20"/>
                <w:szCs w:val="20"/>
                <w:color w:val="auto"/>
              </w:rPr>
            </w:pPr>
            <w:r>
              <w:rPr>
                <w:rFonts w:ascii="Arial" w:cs="Arial" w:eastAsia="Arial" w:hAnsi="Arial"/>
                <w:sz w:val="18"/>
                <w:szCs w:val="18"/>
                <w:color w:val="auto"/>
              </w:rPr>
              <w:t>$12.8</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13.5%</w:t>
            </w:r>
          </w:p>
        </w:tc>
        <w:tc>
          <w:tcPr>
            <w:tcW w:w="1620" w:type="dxa"/>
            <w:vAlign w:val="bottom"/>
            <w:gridSpan w:val="2"/>
          </w:tcPr>
          <w:p>
            <w:pPr>
              <w:jc w:val="right"/>
              <w:ind w:right="188"/>
              <w:spacing w:after="0"/>
              <w:rPr>
                <w:sz w:val="20"/>
                <w:szCs w:val="20"/>
                <w:color w:val="auto"/>
              </w:rPr>
            </w:pPr>
            <w:r>
              <w:rPr>
                <w:rFonts w:ascii="Arial" w:cs="Arial" w:eastAsia="Arial" w:hAnsi="Arial"/>
                <w:sz w:val="18"/>
                <w:szCs w:val="18"/>
                <w:color w:val="auto"/>
              </w:rPr>
              <w:t>13.1%</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Our SG&amp;A expenses increased year over year primarily due to higher selling and marketing costs of approximately $3.0 million to support our growth in revenues and new customer acquisition efforts. Additionally, we experienced higher support and facility costs related to our expanded operations of approximately $6.9 million and approximately $2.9 million in stock based compensation expense recorded in fiscal year 2007.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760" w:type="dxa"/>
            <w:vAlign w:val="bottom"/>
            <w:gridSpan w:val="3"/>
            <w:vMerge w:val="restart"/>
          </w:tcPr>
          <w:p>
            <w:pPr>
              <w:jc w:val="right"/>
              <w:ind w:right="908"/>
              <w:spacing w:after="0"/>
              <w:rPr>
                <w:sz w:val="20"/>
                <w:szCs w:val="20"/>
                <w:color w:val="auto"/>
              </w:rPr>
            </w:pPr>
            <w:r>
              <w:rPr>
                <w:rFonts w:ascii="Arial" w:cs="Arial" w:eastAsia="Arial" w:hAnsi="Arial"/>
                <w:sz w:val="14"/>
                <w:szCs w:val="14"/>
                <w:b w:val="1"/>
                <w:bCs w:val="1"/>
                <w:color w:val="auto"/>
              </w:rPr>
              <w:t>Years Ended</w:t>
            </w: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680" w:type="dxa"/>
            <w:vAlign w:val="bottom"/>
          </w:tcPr>
          <w:p>
            <w:pPr>
              <w:spacing w:after="0"/>
              <w:rPr>
                <w:sz w:val="13"/>
                <w:szCs w:val="13"/>
                <w:color w:val="auto"/>
              </w:rPr>
            </w:pPr>
          </w:p>
        </w:tc>
        <w:tc>
          <w:tcPr>
            <w:tcW w:w="2760" w:type="dxa"/>
            <w:vAlign w:val="bottom"/>
            <w:tcBorders>
              <w:bottom w:val="single" w:sz="8" w:color="auto"/>
            </w:tcBorders>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Increase</w:t>
            </w:r>
          </w:p>
        </w:tc>
        <w:tc>
          <w:tcPr>
            <w:tcW w:w="5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114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March 30, 2007</w:t>
            </w:r>
          </w:p>
        </w:tc>
        <w:tc>
          <w:tcPr>
            <w:tcW w:w="500" w:type="dxa"/>
            <w:vAlign w:val="bottom"/>
          </w:tcPr>
          <w:p>
            <w:pPr>
              <w:spacing w:after="0"/>
              <w:rPr>
                <w:sz w:val="12"/>
                <w:szCs w:val="12"/>
                <w:color w:val="auto"/>
              </w:rPr>
            </w:pPr>
          </w:p>
        </w:tc>
        <w:tc>
          <w:tcPr>
            <w:tcW w:w="11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March 31, 2006</w:t>
            </w: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Arial" w:cs="Arial" w:eastAsia="Arial" w:hAnsi="Arial"/>
                <w:sz w:val="14"/>
                <w:szCs w:val="14"/>
                <w:b w:val="1"/>
                <w:bCs w:val="1"/>
                <w:color w:val="auto"/>
              </w:rPr>
              <w:t>(In millions,</w:t>
            </w:r>
          </w:p>
        </w:tc>
        <w:tc>
          <w:tcPr>
            <w:tcW w:w="580" w:type="dxa"/>
            <w:vAlign w:val="bottom"/>
            <w:vMerge w:val="continue"/>
          </w:tcPr>
          <w:p>
            <w:pPr>
              <w:spacing w:after="0"/>
              <w:rPr>
                <w:sz w:val="11"/>
                <w:szCs w:val="11"/>
                <w:color w:val="auto"/>
              </w:rPr>
            </w:pPr>
          </w:p>
        </w:tc>
        <w:tc>
          <w:tcPr>
            <w:tcW w:w="900" w:type="dxa"/>
            <w:vAlign w:val="bottom"/>
          </w:tcPr>
          <w:p>
            <w:pPr>
              <w:jc w:val="right"/>
              <w:ind w:right="251"/>
              <w:spacing w:after="0" w:line="128" w:lineRule="exact"/>
              <w:rPr>
                <w:sz w:val="20"/>
                <w:szCs w:val="20"/>
                <w:color w:val="auto"/>
              </w:rPr>
            </w:pPr>
            <w:r>
              <w:rPr>
                <w:rFonts w:ascii="Arial" w:cs="Arial" w:eastAsia="Arial" w:hAnsi="Arial"/>
                <w:sz w:val="12"/>
                <w:szCs w:val="12"/>
                <w:b w:val="1"/>
                <w:bCs w:val="1"/>
                <w:color w:val="auto"/>
                <w:w w:val="74"/>
              </w:rPr>
              <w:t>percentages)</w:t>
            </w: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Independent Research and Development</w:t>
            </w:r>
          </w:p>
        </w:tc>
        <w:tc>
          <w:tcPr>
            <w:tcW w:w="1140" w:type="dxa"/>
            <w:vAlign w:val="bottom"/>
          </w:tcPr>
          <w:p>
            <w:pPr>
              <w:jc w:val="right"/>
              <w:ind w:right="339"/>
              <w:spacing w:after="0"/>
              <w:rPr>
                <w:sz w:val="20"/>
                <w:szCs w:val="20"/>
                <w:color w:val="auto"/>
              </w:rPr>
            </w:pPr>
            <w:r>
              <w:rPr>
                <w:rFonts w:ascii="Arial" w:cs="Arial" w:eastAsia="Arial" w:hAnsi="Arial"/>
                <w:sz w:val="18"/>
                <w:szCs w:val="18"/>
                <w:color w:val="auto"/>
              </w:rPr>
              <w:t>$21.6</w:t>
            </w:r>
          </w:p>
        </w:tc>
        <w:tc>
          <w:tcPr>
            <w:tcW w:w="1620" w:type="dxa"/>
            <w:vAlign w:val="bottom"/>
            <w:gridSpan w:val="2"/>
          </w:tcPr>
          <w:p>
            <w:pPr>
              <w:jc w:val="right"/>
              <w:ind w:right="328"/>
              <w:spacing w:after="0"/>
              <w:rPr>
                <w:sz w:val="20"/>
                <w:szCs w:val="20"/>
                <w:color w:val="auto"/>
              </w:rPr>
            </w:pPr>
            <w:r>
              <w:rPr>
                <w:rFonts w:ascii="Arial" w:cs="Arial" w:eastAsia="Arial" w:hAnsi="Arial"/>
                <w:sz w:val="18"/>
                <w:szCs w:val="18"/>
                <w:color w:val="auto"/>
              </w:rPr>
              <w:t>$15.8</w:t>
            </w:r>
          </w:p>
        </w:tc>
        <w:tc>
          <w:tcPr>
            <w:tcW w:w="1480" w:type="dxa"/>
            <w:vAlign w:val="bottom"/>
            <w:gridSpan w:val="2"/>
          </w:tcPr>
          <w:p>
            <w:pPr>
              <w:jc w:val="right"/>
              <w:ind w:right="271"/>
              <w:spacing w:after="0"/>
              <w:rPr>
                <w:sz w:val="20"/>
                <w:szCs w:val="20"/>
                <w:color w:val="auto"/>
              </w:rPr>
            </w:pPr>
            <w:r>
              <w:rPr>
                <w:rFonts w:ascii="Arial" w:cs="Arial" w:eastAsia="Arial" w:hAnsi="Arial"/>
                <w:sz w:val="18"/>
                <w:szCs w:val="18"/>
                <w:color w:val="auto"/>
              </w:rPr>
              <w:t>$5.9</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4.2%</w:t>
            </w:r>
          </w:p>
        </w:tc>
        <w:tc>
          <w:tcPr>
            <w:tcW w:w="1620" w:type="dxa"/>
            <w:vAlign w:val="bottom"/>
            <w:gridSpan w:val="2"/>
          </w:tcPr>
          <w:p>
            <w:pPr>
              <w:jc w:val="right"/>
              <w:ind w:right="168"/>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18"/>
        <w:spacing w:after="0" w:line="279" w:lineRule="auto"/>
        <w:rPr>
          <w:sz w:val="20"/>
          <w:szCs w:val="20"/>
          <w:color w:val="auto"/>
        </w:rPr>
      </w:pPr>
      <w:r>
        <w:rPr>
          <w:rFonts w:ascii="Arial" w:cs="Arial" w:eastAsia="Arial" w:hAnsi="Arial"/>
          <w:sz w:val="17"/>
          <w:szCs w:val="17"/>
          <w:color w:val="auto"/>
        </w:rPr>
        <w:t>Year over year increases of $5.9 million in IR&amp;D expenses were driven primarily from additional IR&amp;D efforts in our government systems segment and commercial networks segment of $3.4 million and $2.5 million, respectively. The higher IR&amp;D expenses were principally for the development of new information assurance, military satellite communication and next generation enterprise VSAT products, and reflect our recognition of certain opportunities in these markets and the need to invest in the development of new technologies to meet these opportunities.</w:t>
      </w:r>
    </w:p>
    <w:p>
      <w:pPr>
        <w:spacing w:after="0" w:line="63"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i w:val="1"/>
          <w:iCs w:val="1"/>
          <w:color w:val="auto"/>
        </w:rPr>
        <w:t xml:space="preserve">Amortization of Intangible Assets. </w:t>
      </w:r>
      <w:r>
        <w:rPr>
          <w:rFonts w:ascii="Arial" w:cs="Arial" w:eastAsia="Arial" w:hAnsi="Arial"/>
          <w:sz w:val="17"/>
          <w:szCs w:val="17"/>
          <w:color w:val="auto"/>
        </w:rPr>
        <w:t>The intangible assets from prior acquisitions are being amortized over their useful lives ranging from eight months to</w:t>
      </w:r>
      <w:r>
        <w:rPr>
          <w:rFonts w:ascii="Arial" w:cs="Arial" w:eastAsia="Arial" w:hAnsi="Arial"/>
          <w:sz w:val="17"/>
          <w:szCs w:val="17"/>
          <w:i w:val="1"/>
          <w:iCs w:val="1"/>
          <w:color w:val="auto"/>
        </w:rPr>
        <w:t xml:space="preserve"> </w:t>
      </w:r>
      <w:r>
        <w:rPr>
          <w:rFonts w:ascii="Arial" w:cs="Arial" w:eastAsia="Arial" w:hAnsi="Arial"/>
          <w:sz w:val="17"/>
          <w:szCs w:val="17"/>
          <w:color w:val="auto"/>
        </w:rPr>
        <w:t>ten years. The amortization of intangible assets will decrease each year as the intangible assets with shorter lives become fully amortized.</w:t>
      </w:r>
    </w:p>
    <w:p>
      <w:pPr>
        <w:spacing w:after="0" w:line="38"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to $2.2 million for fiscal year 2007 from $248,000 for fiscal year 2006 due to higher average invested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year over year and higher interest rates earned.</w:t>
      </w:r>
    </w:p>
    <w:p>
      <w:pPr>
        <w:spacing w:after="0" w:line="62"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the same, $448,000, for fiscal years 2007 and 2006, primarily from commitment fees on our line of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which remained the same year over year. At March 30, 2007 and March 31, 2006, there were no outstanding borrowings under our line of credit.</w:t>
      </w:r>
    </w:p>
    <w:p>
      <w:pPr>
        <w:spacing w:after="0" w:line="16"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tax rate was 18.2% in fiscal year 2007 compared to 17.8% in fiscal year 2006. Our effective tax rate of 17.8%</w:t>
      </w:r>
      <w:r>
        <w:rPr>
          <w:rFonts w:ascii="Arial" w:cs="Arial" w:eastAsia="Arial" w:hAnsi="Arial"/>
          <w:sz w:val="17"/>
          <w:szCs w:val="17"/>
          <w:i w:val="1"/>
          <w:iCs w:val="1"/>
          <w:color w:val="auto"/>
        </w:rPr>
        <w:t xml:space="preserve"> </w:t>
      </w:r>
      <w:r>
        <w:rPr>
          <w:rFonts w:ascii="Arial" w:cs="Arial" w:eastAsia="Arial" w:hAnsi="Arial"/>
          <w:sz w:val="17"/>
          <w:szCs w:val="17"/>
          <w:color w:val="auto"/>
        </w:rPr>
        <w:t>for fiscal year 2006 reflects the expiration of the federal research tax credit at December 31, 2005 and our effective tax rate of 18.2% for fiscal 2007 reflects the retroactive reinstatement of the federal research tax credit. The higher tax rate reflects an increase to earnings before tax from fiscal year 2006 to fiscal year 2007 which was greater than the increase in research tax credits, even with the retroactive restatement of the federal research tax credit. Our effective rate differs from the statutory federal rate primarily due to research tax credits and state income taxes.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 Results Fiscal Year 2007 Compared to Fiscal Year 2006</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900" w:type="dxa"/>
            <w:vAlign w:val="bottom"/>
            <w:gridSpan w:val="3"/>
            <w:vMerge w:val="restart"/>
          </w:tcPr>
          <w:p>
            <w:pPr>
              <w:jc w:val="right"/>
              <w:ind w:right="988"/>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540" w:type="dxa"/>
            <w:vAlign w:val="bottom"/>
          </w:tcPr>
          <w:p>
            <w:pPr>
              <w:spacing w:after="0"/>
              <w:rPr>
                <w:sz w:val="13"/>
                <w:szCs w:val="13"/>
                <w:color w:val="auto"/>
              </w:rPr>
            </w:pPr>
          </w:p>
        </w:tc>
        <w:tc>
          <w:tcPr>
            <w:tcW w:w="2900" w:type="dxa"/>
            <w:vAlign w:val="bottom"/>
            <w:tcBorders>
              <w:bottom w:val="single" w:sz="8" w:color="auto"/>
            </w:tcBorders>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4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2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March 30, 2007</w:t>
            </w:r>
          </w:p>
        </w:tc>
        <w:tc>
          <w:tcPr>
            <w:tcW w:w="500" w:type="dxa"/>
            <w:vAlign w:val="bottom"/>
          </w:tcPr>
          <w:p>
            <w:pPr>
              <w:spacing w:after="0"/>
              <w:rPr>
                <w:sz w:val="12"/>
                <w:szCs w:val="12"/>
                <w:color w:val="auto"/>
              </w:rPr>
            </w:pPr>
          </w:p>
        </w:tc>
        <w:tc>
          <w:tcPr>
            <w:tcW w:w="1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31, 2006</w:t>
            </w: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jc w:val="right"/>
              <w:ind w:right="28"/>
              <w:spacing w:after="0" w:line="128" w:lineRule="exact"/>
              <w:rPr>
                <w:sz w:val="20"/>
                <w:szCs w:val="20"/>
                <w:color w:val="auto"/>
              </w:rPr>
            </w:pPr>
            <w:r>
              <w:rPr>
                <w:rFonts w:ascii="Arial" w:cs="Arial" w:eastAsia="Arial" w:hAnsi="Arial"/>
                <w:sz w:val="14"/>
                <w:szCs w:val="14"/>
                <w:b w:val="1"/>
                <w:bCs w:val="1"/>
                <w:color w:val="auto"/>
              </w:rPr>
              <w:t>(In millions,</w:t>
            </w:r>
          </w:p>
        </w:tc>
        <w:tc>
          <w:tcPr>
            <w:tcW w:w="500" w:type="dxa"/>
            <w:vAlign w:val="bottom"/>
            <w:vMerge w:val="continue"/>
          </w:tcPr>
          <w:p>
            <w:pPr>
              <w:spacing w:after="0"/>
              <w:rPr>
                <w:sz w:val="11"/>
                <w:szCs w:val="11"/>
                <w:color w:val="auto"/>
              </w:rPr>
            </w:pPr>
          </w:p>
        </w:tc>
        <w:tc>
          <w:tcPr>
            <w:tcW w:w="1000" w:type="dxa"/>
            <w:vAlign w:val="bottom"/>
          </w:tcPr>
          <w:p>
            <w:pPr>
              <w:jc w:val="right"/>
              <w:ind w:right="288"/>
              <w:spacing w:after="0" w:line="128" w:lineRule="exact"/>
              <w:rPr>
                <w:sz w:val="20"/>
                <w:szCs w:val="20"/>
                <w:color w:val="auto"/>
              </w:rPr>
            </w:pPr>
            <w:r>
              <w:rPr>
                <w:rFonts w:ascii="Arial" w:cs="Arial" w:eastAsia="Arial" w:hAnsi="Arial"/>
                <w:sz w:val="14"/>
                <w:szCs w:val="14"/>
                <w:b w:val="1"/>
                <w:bCs w:val="1"/>
                <w:color w:val="auto"/>
                <w:w w:val="71"/>
              </w:rPr>
              <w:t>percentages)</w:t>
            </w: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Revenues</w:t>
            </w:r>
          </w:p>
        </w:tc>
        <w:tc>
          <w:tcPr>
            <w:tcW w:w="1200" w:type="dxa"/>
            <w:vAlign w:val="bottom"/>
          </w:tcPr>
          <w:p>
            <w:pPr>
              <w:jc w:val="right"/>
              <w:ind w:right="322"/>
              <w:spacing w:after="0"/>
              <w:rPr>
                <w:sz w:val="20"/>
                <w:szCs w:val="20"/>
                <w:color w:val="auto"/>
              </w:rPr>
            </w:pPr>
            <w:r>
              <w:rPr>
                <w:rFonts w:ascii="Arial" w:cs="Arial" w:eastAsia="Arial" w:hAnsi="Arial"/>
                <w:sz w:val="18"/>
                <w:szCs w:val="18"/>
                <w:color w:val="auto"/>
              </w:rPr>
              <w:t>$278.4</w:t>
            </w:r>
          </w:p>
        </w:tc>
        <w:tc>
          <w:tcPr>
            <w:tcW w:w="1700" w:type="dxa"/>
            <w:vAlign w:val="bottom"/>
            <w:gridSpan w:val="2"/>
          </w:tcPr>
          <w:p>
            <w:pPr>
              <w:jc w:val="right"/>
              <w:ind w:right="328"/>
              <w:spacing w:after="0"/>
              <w:rPr>
                <w:sz w:val="20"/>
                <w:szCs w:val="20"/>
                <w:color w:val="auto"/>
              </w:rPr>
            </w:pPr>
            <w:r>
              <w:rPr>
                <w:rFonts w:ascii="Arial" w:cs="Arial" w:eastAsia="Arial" w:hAnsi="Arial"/>
                <w:sz w:val="18"/>
                <w:szCs w:val="18"/>
                <w:color w:val="auto"/>
              </w:rPr>
              <w:t>$218.4</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$60.0</w:t>
            </w: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fiscal 2007 government systems segment revenues increased primarily due to higher beginning backlog converting to revenue and the receipt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$301.8 million in new awards during fiscal year 2007. The growth was attained through higher year over year government information assurance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 of approximately $27.2 million, tactical data link products sales, principally MIDS JTRS development program revenue, of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$21.0 million, as well as the acquisition of Enerdyne in fiscal year 2007 contributing approximately $9.1 million from sales of video data link products.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780" w:type="dxa"/>
            <w:vAlign w:val="bottom"/>
            <w:gridSpan w:val="3"/>
            <w:vMerge w:val="restart"/>
          </w:tcPr>
          <w:p>
            <w:pPr>
              <w:jc w:val="right"/>
              <w:ind w:right="928"/>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700" w:type="dxa"/>
            <w:vAlign w:val="bottom"/>
          </w:tcPr>
          <w:p>
            <w:pPr>
              <w:spacing w:after="0"/>
              <w:rPr>
                <w:sz w:val="13"/>
                <w:szCs w:val="13"/>
                <w:color w:val="auto"/>
              </w:rPr>
            </w:pPr>
          </w:p>
        </w:tc>
        <w:tc>
          <w:tcPr>
            <w:tcW w:w="2780" w:type="dxa"/>
            <w:vAlign w:val="bottom"/>
            <w:tcBorders>
              <w:bottom w:val="single" w:sz="8" w:color="auto"/>
            </w:tcBorders>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0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30, 2007</w:t>
            </w:r>
          </w:p>
        </w:tc>
        <w:tc>
          <w:tcPr>
            <w:tcW w:w="500" w:type="dxa"/>
            <w:vAlign w:val="bottom"/>
          </w:tcPr>
          <w:p>
            <w:pPr>
              <w:spacing w:after="0"/>
              <w:rPr>
                <w:sz w:val="12"/>
                <w:szCs w:val="12"/>
                <w:color w:val="auto"/>
              </w:rPr>
            </w:pPr>
          </w:p>
        </w:tc>
        <w:tc>
          <w:tcPr>
            <w:tcW w:w="11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March 31, 2006</w:t>
            </w: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jc w:val="right"/>
              <w:ind w:right="8"/>
              <w:spacing w:after="0" w:line="128" w:lineRule="exact"/>
              <w:rPr>
                <w:sz w:val="20"/>
                <w:szCs w:val="20"/>
                <w:color w:val="auto"/>
              </w:rPr>
            </w:pPr>
            <w:r>
              <w:rPr>
                <w:rFonts w:ascii="Arial" w:cs="Arial" w:eastAsia="Arial" w:hAnsi="Arial"/>
                <w:sz w:val="14"/>
                <w:szCs w:val="14"/>
                <w:b w:val="1"/>
                <w:bCs w:val="1"/>
                <w:color w:val="auto"/>
              </w:rPr>
              <w:t>(In millions,</w:t>
            </w:r>
          </w:p>
        </w:tc>
        <w:tc>
          <w:tcPr>
            <w:tcW w:w="500" w:type="dxa"/>
            <w:vAlign w:val="bottom"/>
            <w:vMerge w:val="continue"/>
          </w:tcPr>
          <w:p>
            <w:pPr>
              <w:spacing w:after="0"/>
              <w:rPr>
                <w:sz w:val="11"/>
                <w:szCs w:val="11"/>
                <w:color w:val="auto"/>
              </w:rPr>
            </w:pPr>
          </w:p>
        </w:tc>
        <w:tc>
          <w:tcPr>
            <w:tcW w:w="960" w:type="dxa"/>
            <w:vAlign w:val="bottom"/>
          </w:tcPr>
          <w:p>
            <w:pPr>
              <w:spacing w:after="0" w:line="128" w:lineRule="exact"/>
              <w:rPr>
                <w:sz w:val="20"/>
                <w:szCs w:val="20"/>
                <w:color w:val="auto"/>
              </w:rPr>
            </w:pPr>
            <w:r>
              <w:rPr>
                <w:rFonts w:ascii="Arial" w:cs="Arial" w:eastAsia="Arial" w:hAnsi="Arial"/>
                <w:sz w:val="14"/>
                <w:szCs w:val="14"/>
                <w:b w:val="1"/>
                <w:bCs w:val="1"/>
                <w:color w:val="auto"/>
              </w:rPr>
              <w:t>percentages)</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1140" w:type="dxa"/>
            <w:vAlign w:val="bottom"/>
          </w:tcPr>
          <w:p>
            <w:pPr>
              <w:jc w:val="right"/>
              <w:ind w:right="319"/>
              <w:spacing w:after="0"/>
              <w:rPr>
                <w:sz w:val="20"/>
                <w:szCs w:val="20"/>
                <w:color w:val="auto"/>
              </w:rPr>
            </w:pPr>
            <w:r>
              <w:rPr>
                <w:rFonts w:ascii="Arial" w:cs="Arial" w:eastAsia="Arial" w:hAnsi="Arial"/>
                <w:sz w:val="18"/>
                <w:szCs w:val="18"/>
                <w:color w:val="auto"/>
              </w:rPr>
              <w:t>$42.8</w:t>
            </w:r>
          </w:p>
        </w:tc>
        <w:tc>
          <w:tcPr>
            <w:tcW w:w="1640" w:type="dxa"/>
            <w:vAlign w:val="bottom"/>
            <w:gridSpan w:val="2"/>
          </w:tcPr>
          <w:p>
            <w:pPr>
              <w:jc w:val="right"/>
              <w:ind w:right="328"/>
              <w:spacing w:after="0"/>
              <w:rPr>
                <w:sz w:val="20"/>
                <w:szCs w:val="20"/>
                <w:color w:val="auto"/>
              </w:rPr>
            </w:pPr>
            <w:r>
              <w:rPr>
                <w:rFonts w:ascii="Arial" w:cs="Arial" w:eastAsia="Arial" w:hAnsi="Arial"/>
                <w:sz w:val="18"/>
                <w:szCs w:val="18"/>
                <w:color w:val="auto"/>
              </w:rPr>
              <w:t>$43.5</w:t>
            </w:r>
          </w:p>
        </w:tc>
        <w:tc>
          <w:tcPr>
            <w:tcW w:w="1460" w:type="dxa"/>
            <w:vAlign w:val="bottom"/>
            <w:gridSpan w:val="2"/>
          </w:tcPr>
          <w:p>
            <w:pPr>
              <w:jc w:val="center"/>
              <w:ind w:left="399"/>
              <w:spacing w:after="0"/>
              <w:rPr>
                <w:sz w:val="20"/>
                <w:szCs w:val="20"/>
                <w:color w:val="auto"/>
              </w:rPr>
            </w:pPr>
            <w:r>
              <w:rPr>
                <w:rFonts w:ascii="Arial" w:cs="Arial" w:eastAsia="Arial" w:hAnsi="Arial"/>
                <w:sz w:val="18"/>
                <w:szCs w:val="18"/>
                <w:color w:val="auto"/>
                <w:w w:val="97"/>
              </w:rPr>
              <w:t>$(0.7)</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15.4%</w:t>
            </w:r>
          </w:p>
        </w:tc>
        <w:tc>
          <w:tcPr>
            <w:tcW w:w="1640" w:type="dxa"/>
            <w:vAlign w:val="bottom"/>
            <w:gridSpan w:val="2"/>
          </w:tcPr>
          <w:p>
            <w:pPr>
              <w:jc w:val="right"/>
              <w:ind w:right="188"/>
              <w:spacing w:after="0"/>
              <w:rPr>
                <w:sz w:val="20"/>
                <w:szCs w:val="20"/>
                <w:color w:val="auto"/>
              </w:rPr>
            </w:pPr>
            <w:r>
              <w:rPr>
                <w:rFonts w:ascii="Arial" w:cs="Arial" w:eastAsia="Arial" w:hAnsi="Arial"/>
                <w:sz w:val="18"/>
                <w:szCs w:val="18"/>
                <w:color w:val="auto"/>
              </w:rPr>
              <w:t>19.9%</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slight decrease in government systems segment operating profit dollars was related to higher IR&amp;D expenses of $3.4 million and higher SG&amp;A expenses of $8.7 million from higher selling and support costs. Additional contribution to decrease in operating profit was due to non-cash stock based compensation charges of $2.4 million in fiscal year 2007 and increased cost of revenues as a percent of sales primarily from our MIDS product group totaling approximately $1.8 million. These higher costs were offset by an increase in revenues of $60.0 million from fiscal year 2006 to fiscal year 2007.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940" w:type="dxa"/>
            <w:vAlign w:val="bottom"/>
            <w:gridSpan w:val="3"/>
            <w:vMerge w:val="restart"/>
          </w:tcPr>
          <w:p>
            <w:pPr>
              <w:jc w:val="right"/>
              <w:ind w:right="1008"/>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580" w:type="dxa"/>
            <w:vAlign w:val="bottom"/>
          </w:tcPr>
          <w:p>
            <w:pPr>
              <w:spacing w:after="0"/>
              <w:rPr>
                <w:sz w:val="13"/>
                <w:szCs w:val="13"/>
                <w:color w:val="auto"/>
              </w:rPr>
            </w:pPr>
          </w:p>
        </w:tc>
        <w:tc>
          <w:tcPr>
            <w:tcW w:w="2940" w:type="dxa"/>
            <w:vAlign w:val="bottom"/>
            <w:tcBorders>
              <w:bottom w:val="single" w:sz="8" w:color="auto"/>
            </w:tcBorders>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0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2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March 30, 2007</w:t>
            </w:r>
          </w:p>
        </w:tc>
        <w:tc>
          <w:tcPr>
            <w:tcW w:w="500" w:type="dxa"/>
            <w:vAlign w:val="bottom"/>
          </w:tcPr>
          <w:p>
            <w:pPr>
              <w:spacing w:after="0"/>
              <w:rPr>
                <w:sz w:val="12"/>
                <w:szCs w:val="12"/>
                <w:color w:val="auto"/>
              </w:rPr>
            </w:pPr>
          </w:p>
        </w:tc>
        <w:tc>
          <w:tcPr>
            <w:tcW w:w="1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March 31, 2006</w:t>
            </w: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Pr>
          <w:p>
            <w:pPr>
              <w:jc w:val="right"/>
              <w:ind w:right="28"/>
              <w:spacing w:after="0" w:line="128" w:lineRule="exact"/>
              <w:rPr>
                <w:sz w:val="20"/>
                <w:szCs w:val="20"/>
                <w:color w:val="auto"/>
              </w:rPr>
            </w:pPr>
            <w:r>
              <w:rPr>
                <w:rFonts w:ascii="Arial" w:cs="Arial" w:eastAsia="Arial" w:hAnsi="Arial"/>
                <w:sz w:val="14"/>
                <w:szCs w:val="14"/>
                <w:b w:val="1"/>
                <w:bCs w:val="1"/>
                <w:color w:val="auto"/>
              </w:rPr>
              <w:t>(In millions,</w:t>
            </w:r>
          </w:p>
        </w:tc>
        <w:tc>
          <w:tcPr>
            <w:tcW w:w="500" w:type="dxa"/>
            <w:vAlign w:val="bottom"/>
            <w:vMerge w:val="continue"/>
          </w:tcPr>
          <w:p>
            <w:pPr>
              <w:spacing w:after="0"/>
              <w:rPr>
                <w:sz w:val="11"/>
                <w:szCs w:val="11"/>
                <w:color w:val="auto"/>
              </w:rPr>
            </w:pPr>
          </w:p>
        </w:tc>
        <w:tc>
          <w:tcPr>
            <w:tcW w:w="1000" w:type="dxa"/>
            <w:vAlign w:val="bottom"/>
          </w:tcPr>
          <w:p>
            <w:pPr>
              <w:jc w:val="right"/>
              <w:ind w:right="309"/>
              <w:spacing w:after="0" w:line="128" w:lineRule="exact"/>
              <w:rPr>
                <w:sz w:val="20"/>
                <w:szCs w:val="20"/>
                <w:color w:val="auto"/>
              </w:rPr>
            </w:pPr>
            <w:r>
              <w:rPr>
                <w:rFonts w:ascii="Arial" w:cs="Arial" w:eastAsia="Arial" w:hAnsi="Arial"/>
                <w:sz w:val="13"/>
                <w:szCs w:val="13"/>
                <w:b w:val="1"/>
                <w:bCs w:val="1"/>
                <w:color w:val="auto"/>
                <w:w w:val="74"/>
              </w:rPr>
              <w:t>percentages)</w:t>
            </w: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Revenues</w:t>
            </w:r>
          </w:p>
        </w:tc>
        <w:tc>
          <w:tcPr>
            <w:tcW w:w="1220" w:type="dxa"/>
            <w:vAlign w:val="bottom"/>
          </w:tcPr>
          <w:p>
            <w:pPr>
              <w:jc w:val="right"/>
              <w:ind w:right="322"/>
              <w:spacing w:after="0"/>
              <w:rPr>
                <w:sz w:val="20"/>
                <w:szCs w:val="20"/>
                <w:color w:val="auto"/>
              </w:rPr>
            </w:pPr>
            <w:r>
              <w:rPr>
                <w:rFonts w:ascii="Arial" w:cs="Arial" w:eastAsia="Arial" w:hAnsi="Arial"/>
                <w:sz w:val="18"/>
                <w:szCs w:val="18"/>
                <w:color w:val="auto"/>
              </w:rPr>
              <w:t>$231.5</w:t>
            </w:r>
          </w:p>
        </w:tc>
        <w:tc>
          <w:tcPr>
            <w:tcW w:w="1720" w:type="dxa"/>
            <w:vAlign w:val="bottom"/>
            <w:gridSpan w:val="2"/>
          </w:tcPr>
          <w:p>
            <w:pPr>
              <w:jc w:val="right"/>
              <w:ind w:right="328"/>
              <w:spacing w:after="0"/>
              <w:rPr>
                <w:sz w:val="20"/>
                <w:szCs w:val="20"/>
                <w:color w:val="auto"/>
              </w:rPr>
            </w:pPr>
            <w:r>
              <w:rPr>
                <w:rFonts w:ascii="Arial" w:cs="Arial" w:eastAsia="Arial" w:hAnsi="Arial"/>
                <w:sz w:val="18"/>
                <w:szCs w:val="18"/>
                <w:color w:val="auto"/>
              </w:rPr>
              <w:t>$216.5</w:t>
            </w:r>
          </w:p>
        </w:tc>
        <w:tc>
          <w:tcPr>
            <w:tcW w:w="1500" w:type="dxa"/>
            <w:vAlign w:val="bottom"/>
            <w:gridSpan w:val="2"/>
          </w:tcPr>
          <w:p>
            <w:pPr>
              <w:jc w:val="right"/>
              <w:ind w:right="269"/>
              <w:spacing w:after="0"/>
              <w:rPr>
                <w:sz w:val="20"/>
                <w:szCs w:val="20"/>
                <w:color w:val="auto"/>
              </w:rPr>
            </w:pPr>
            <w:r>
              <w:rPr>
                <w:rFonts w:ascii="Arial" w:cs="Arial" w:eastAsia="Arial" w:hAnsi="Arial"/>
                <w:sz w:val="18"/>
                <w:szCs w:val="18"/>
                <w:color w:val="auto"/>
              </w:rPr>
              <w:t>$15.1</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The increase in commercial networks segment revenues reflects higher sales of consumer broadband products of approximately $26.3 million offset by certain mobile broadband sales decreases of approximately $9.8 million. The overall higher sales of commercial networks equipment revenue reflects higher customer awards stemming from greater market acceptance of our products, the conversion of those awards to revenue, more favorable market conditions in the commercial telecommunications market for our products and further development of our consumer satellite broadband systems.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640" w:type="dxa"/>
            <w:vAlign w:val="bottom"/>
            <w:gridSpan w:val="3"/>
            <w:vMerge w:val="restart"/>
          </w:tcPr>
          <w:p>
            <w:pPr>
              <w:jc w:val="right"/>
              <w:ind w:right="848"/>
              <w:spacing w:after="0"/>
              <w:rPr>
                <w:sz w:val="20"/>
                <w:szCs w:val="20"/>
                <w:color w:val="auto"/>
              </w:rPr>
            </w:pPr>
            <w:r>
              <w:rPr>
                <w:rFonts w:ascii="Arial" w:cs="Arial" w:eastAsia="Arial" w:hAnsi="Arial"/>
                <w:sz w:val="14"/>
                <w:szCs w:val="14"/>
                <w:b w:val="1"/>
                <w:bCs w:val="1"/>
                <w:color w:val="auto"/>
              </w:rPr>
              <w:t>Years Ended</w:t>
            </w: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720" w:type="dxa"/>
            <w:vAlign w:val="bottom"/>
          </w:tcPr>
          <w:p>
            <w:pPr>
              <w:spacing w:after="0"/>
              <w:rPr>
                <w:sz w:val="13"/>
                <w:szCs w:val="13"/>
                <w:color w:val="auto"/>
              </w:rPr>
            </w:pPr>
          </w:p>
        </w:tc>
        <w:tc>
          <w:tcPr>
            <w:tcW w:w="2640" w:type="dxa"/>
            <w:vAlign w:val="bottom"/>
            <w:tcBorders>
              <w:bottom w:val="single" w:sz="8" w:color="auto"/>
            </w:tcBorders>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0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March 30, 2007</w:t>
            </w:r>
          </w:p>
        </w:tc>
        <w:tc>
          <w:tcPr>
            <w:tcW w:w="50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31, 2006</w:t>
            </w: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jc w:val="right"/>
              <w:spacing w:after="0" w:line="128" w:lineRule="exact"/>
              <w:rPr>
                <w:sz w:val="20"/>
                <w:szCs w:val="20"/>
                <w:color w:val="auto"/>
              </w:rPr>
            </w:pPr>
            <w:r>
              <w:rPr>
                <w:rFonts w:ascii="Arial" w:cs="Arial" w:eastAsia="Arial" w:hAnsi="Arial"/>
                <w:sz w:val="14"/>
                <w:szCs w:val="14"/>
                <w:b w:val="1"/>
                <w:bCs w:val="1"/>
                <w:color w:val="auto"/>
              </w:rPr>
              <w:t>(In millions,</w:t>
            </w:r>
          </w:p>
        </w:tc>
        <w:tc>
          <w:tcPr>
            <w:tcW w:w="580" w:type="dxa"/>
            <w:vAlign w:val="bottom"/>
            <w:vMerge w:val="continue"/>
          </w:tcPr>
          <w:p>
            <w:pPr>
              <w:spacing w:after="0"/>
              <w:rPr>
                <w:sz w:val="11"/>
                <w:szCs w:val="11"/>
                <w:color w:val="auto"/>
              </w:rPr>
            </w:pPr>
          </w:p>
        </w:tc>
        <w:tc>
          <w:tcPr>
            <w:tcW w:w="900" w:type="dxa"/>
            <w:vAlign w:val="bottom"/>
          </w:tcPr>
          <w:p>
            <w:pPr>
              <w:jc w:val="right"/>
              <w:ind w:right="229"/>
              <w:spacing w:after="0" w:line="128" w:lineRule="exact"/>
              <w:rPr>
                <w:sz w:val="20"/>
                <w:szCs w:val="20"/>
                <w:color w:val="auto"/>
              </w:rPr>
            </w:pPr>
            <w:r>
              <w:rPr>
                <w:rFonts w:ascii="Arial" w:cs="Arial" w:eastAsia="Arial" w:hAnsi="Arial"/>
                <w:sz w:val="13"/>
                <w:szCs w:val="13"/>
                <w:b w:val="1"/>
                <w:bCs w:val="1"/>
                <w:color w:val="auto"/>
                <w:w w:val="71"/>
              </w:rPr>
              <w:t>percentages)</w:t>
            </w: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Segment operating profit (loss)</w:t>
            </w:r>
          </w:p>
        </w:tc>
        <w:tc>
          <w:tcPr>
            <w:tcW w:w="1040" w:type="dxa"/>
            <w:vAlign w:val="bottom"/>
          </w:tcPr>
          <w:p>
            <w:pPr>
              <w:jc w:val="right"/>
              <w:ind w:right="319"/>
              <w:spacing w:after="0"/>
              <w:rPr>
                <w:sz w:val="20"/>
                <w:szCs w:val="20"/>
                <w:color w:val="auto"/>
              </w:rPr>
            </w:pPr>
            <w:r>
              <w:rPr>
                <w:rFonts w:ascii="Arial" w:cs="Arial" w:eastAsia="Arial" w:hAnsi="Arial"/>
                <w:sz w:val="18"/>
                <w:szCs w:val="18"/>
                <w:color w:val="auto"/>
              </w:rPr>
              <w:t>$4.3</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$(3.4)</w:t>
            </w:r>
          </w:p>
        </w:tc>
        <w:tc>
          <w:tcPr>
            <w:tcW w:w="1480" w:type="dxa"/>
            <w:vAlign w:val="bottom"/>
            <w:gridSpan w:val="2"/>
          </w:tcPr>
          <w:p>
            <w:pPr>
              <w:jc w:val="right"/>
              <w:ind w:right="269"/>
              <w:spacing w:after="0"/>
              <w:rPr>
                <w:sz w:val="20"/>
                <w:szCs w:val="20"/>
                <w:color w:val="auto"/>
              </w:rPr>
            </w:pPr>
            <w:r>
              <w:rPr>
                <w:rFonts w:ascii="Arial" w:cs="Arial" w:eastAsia="Arial" w:hAnsi="Arial"/>
                <w:sz w:val="18"/>
                <w:szCs w:val="18"/>
                <w:color w:val="auto"/>
              </w:rPr>
              <w:t>$7.7</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40" w:type="dxa"/>
            <w:vAlign w:val="bottom"/>
          </w:tcPr>
          <w:p>
            <w:pPr>
              <w:jc w:val="right"/>
              <w:ind w:right="179"/>
              <w:spacing w:after="0"/>
              <w:rPr>
                <w:sz w:val="20"/>
                <w:szCs w:val="20"/>
                <w:color w:val="auto"/>
              </w:rPr>
            </w:pPr>
            <w:r>
              <w:rPr>
                <w:rFonts w:ascii="Arial" w:cs="Arial" w:eastAsia="Arial" w:hAnsi="Arial"/>
                <w:sz w:val="18"/>
                <w:szCs w:val="18"/>
                <w:color w:val="auto"/>
              </w:rPr>
              <w:t>1.8%</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Our operating profit growth of $7.7 million was primarily driven by improved performance of consumer broadband products which contributed to product cost reduction of approximately $12.8 million. This increase was offset by lower margins from our antenna systems products from development cost overruns of approximately $4.4 million. Additionally, our commercial networks segment had increased IR&amp;D expenses of approximately $2.5 million to support development of next generation VSAT equipment and other market opportunities and had increased non-cash stock based compensation expense of approximately $1.1 million.</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0" w:type="dxa"/>
            <w:vAlign w:val="bottom"/>
            <w:gridSpan w:val="3"/>
            <w:vMerge w:val="restart"/>
          </w:tcPr>
          <w:p>
            <w:pPr>
              <w:jc w:val="right"/>
              <w:ind w:right="848"/>
              <w:spacing w:after="0"/>
              <w:rPr>
                <w:sz w:val="20"/>
                <w:szCs w:val="20"/>
                <w:color w:val="auto"/>
              </w:rPr>
            </w:pPr>
            <w:r>
              <w:rPr>
                <w:rFonts w:ascii="Arial" w:cs="Arial" w:eastAsia="Arial" w:hAnsi="Arial"/>
                <w:sz w:val="14"/>
                <w:szCs w:val="14"/>
                <w:b w:val="1"/>
                <w:bCs w:val="1"/>
                <w:color w:val="auto"/>
              </w:rPr>
              <w:t>Years Ended</w:t>
            </w:r>
          </w:p>
        </w:tc>
        <w:tc>
          <w:tcPr>
            <w:tcW w:w="5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840" w:type="dxa"/>
            <w:vAlign w:val="bottom"/>
          </w:tcPr>
          <w:p>
            <w:pPr>
              <w:spacing w:after="0"/>
              <w:rPr>
                <w:sz w:val="13"/>
                <w:szCs w:val="13"/>
                <w:color w:val="auto"/>
              </w:rPr>
            </w:pPr>
          </w:p>
        </w:tc>
        <w:tc>
          <w:tcPr>
            <w:tcW w:w="2600" w:type="dxa"/>
            <w:vAlign w:val="bottom"/>
            <w:tcBorders>
              <w:bottom w:val="single" w:sz="8" w:color="auto"/>
            </w:tcBorders>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2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March 30, 2007</w:t>
            </w:r>
          </w:p>
        </w:tc>
        <w:tc>
          <w:tcPr>
            <w:tcW w:w="5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March 31, 2006</w:t>
            </w: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right"/>
              <w:spacing w:after="0" w:line="128" w:lineRule="exact"/>
              <w:rPr>
                <w:sz w:val="20"/>
                <w:szCs w:val="20"/>
                <w:color w:val="auto"/>
              </w:rPr>
            </w:pPr>
            <w:r>
              <w:rPr>
                <w:rFonts w:ascii="Arial" w:cs="Arial" w:eastAsia="Arial" w:hAnsi="Arial"/>
                <w:sz w:val="14"/>
                <w:szCs w:val="14"/>
                <w:b w:val="1"/>
                <w:bCs w:val="1"/>
                <w:color w:val="auto"/>
              </w:rPr>
              <w:t>(In millions,</w:t>
            </w:r>
          </w:p>
        </w:tc>
        <w:tc>
          <w:tcPr>
            <w:tcW w:w="560" w:type="dxa"/>
            <w:vAlign w:val="bottom"/>
            <w:vMerge w:val="continue"/>
          </w:tcPr>
          <w:p>
            <w:pPr>
              <w:spacing w:after="0"/>
              <w:rPr>
                <w:sz w:val="11"/>
                <w:szCs w:val="11"/>
                <w:color w:val="auto"/>
              </w:rPr>
            </w:pPr>
          </w:p>
        </w:tc>
        <w:tc>
          <w:tcPr>
            <w:tcW w:w="900" w:type="dxa"/>
            <w:vAlign w:val="bottom"/>
          </w:tcPr>
          <w:p>
            <w:pPr>
              <w:jc w:val="right"/>
              <w:ind w:right="188"/>
              <w:spacing w:after="0" w:line="128" w:lineRule="exact"/>
              <w:rPr>
                <w:sz w:val="20"/>
                <w:szCs w:val="20"/>
                <w:color w:val="auto"/>
              </w:rPr>
            </w:pPr>
            <w:r>
              <w:rPr>
                <w:rFonts w:ascii="Arial" w:cs="Arial" w:eastAsia="Arial" w:hAnsi="Arial"/>
                <w:sz w:val="14"/>
                <w:szCs w:val="14"/>
                <w:b w:val="1"/>
                <w:bCs w:val="1"/>
                <w:color w:val="auto"/>
                <w:w w:val="71"/>
              </w:rPr>
              <w:t>percentages)</w:t>
            </w: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Revenues</w:t>
            </w:r>
          </w:p>
        </w:tc>
        <w:tc>
          <w:tcPr>
            <w:tcW w:w="1040" w:type="dxa"/>
            <w:vAlign w:val="bottom"/>
          </w:tcPr>
          <w:p>
            <w:pPr>
              <w:jc w:val="right"/>
              <w:ind w:right="322"/>
              <w:spacing w:after="0"/>
              <w:rPr>
                <w:sz w:val="20"/>
                <w:szCs w:val="20"/>
                <w:color w:val="auto"/>
              </w:rPr>
            </w:pPr>
            <w:r>
              <w:rPr>
                <w:rFonts w:ascii="Arial" w:cs="Arial" w:eastAsia="Arial" w:hAnsi="Arial"/>
                <w:sz w:val="18"/>
                <w:szCs w:val="18"/>
                <w:color w:val="auto"/>
              </w:rPr>
              <w:t>$6.7</w:t>
            </w:r>
          </w:p>
        </w:tc>
        <w:tc>
          <w:tcPr>
            <w:tcW w:w="1560" w:type="dxa"/>
            <w:vAlign w:val="bottom"/>
            <w:gridSpan w:val="2"/>
          </w:tcPr>
          <w:p>
            <w:pPr>
              <w:jc w:val="right"/>
              <w:ind w:right="328"/>
              <w:spacing w:after="0"/>
              <w:rPr>
                <w:sz w:val="20"/>
                <w:szCs w:val="20"/>
                <w:color w:val="auto"/>
              </w:rPr>
            </w:pPr>
            <w:r>
              <w:rPr>
                <w:rFonts w:ascii="Arial" w:cs="Arial" w:eastAsia="Arial" w:hAnsi="Arial"/>
                <w:sz w:val="18"/>
                <w:szCs w:val="18"/>
                <w:color w:val="auto"/>
              </w:rPr>
              <w:t>$5.2</w:t>
            </w:r>
          </w:p>
        </w:tc>
        <w:tc>
          <w:tcPr>
            <w:tcW w:w="1460" w:type="dxa"/>
            <w:vAlign w:val="bottom"/>
            <w:gridSpan w:val="2"/>
          </w:tcPr>
          <w:p>
            <w:pPr>
              <w:jc w:val="right"/>
              <w:ind w:right="268"/>
              <w:spacing w:after="0"/>
              <w:rPr>
                <w:sz w:val="20"/>
                <w:szCs w:val="20"/>
                <w:color w:val="auto"/>
              </w:rPr>
            </w:pPr>
            <w:r>
              <w:rPr>
                <w:rFonts w:ascii="Arial" w:cs="Arial" w:eastAsia="Arial" w:hAnsi="Arial"/>
                <w:sz w:val="18"/>
                <w:szCs w:val="18"/>
                <w:color w:val="auto"/>
              </w:rPr>
              <w:t>$1.5</w:t>
            </w:r>
          </w:p>
        </w:tc>
        <w:tc>
          <w:tcPr>
            <w:tcW w:w="1520" w:type="dxa"/>
            <w:vAlign w:val="bottom"/>
            <w:gridSpan w:val="2"/>
          </w:tcPr>
          <w:p>
            <w:pPr>
              <w:jc w:val="right"/>
              <w:ind w:right="108"/>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Our emerging satellite services segment experienced slight increase in revenues year over year. These revenues were primarily derived from service arrangements supporting both the mobile broadband and managed networks services markets.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860" w:type="dxa"/>
            <w:vAlign w:val="bottom"/>
            <w:gridSpan w:val="3"/>
            <w:vMerge w:val="restart"/>
          </w:tcPr>
          <w:p>
            <w:pPr>
              <w:jc w:val="right"/>
              <w:ind w:right="968"/>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5560" w:type="dxa"/>
            <w:vAlign w:val="bottom"/>
          </w:tcPr>
          <w:p>
            <w:pPr>
              <w:spacing w:after="0"/>
              <w:rPr>
                <w:sz w:val="13"/>
                <w:szCs w:val="13"/>
                <w:color w:val="auto"/>
              </w:rPr>
            </w:pPr>
          </w:p>
        </w:tc>
        <w:tc>
          <w:tcPr>
            <w:tcW w:w="2860" w:type="dxa"/>
            <w:vAlign w:val="bottom"/>
            <w:tcBorders>
              <w:bottom w:val="single" w:sz="8" w:color="auto"/>
            </w:tcBorders>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48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1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March 30, 2007</w:t>
            </w:r>
          </w:p>
        </w:tc>
        <w:tc>
          <w:tcPr>
            <w:tcW w:w="500" w:type="dxa"/>
            <w:vAlign w:val="bottom"/>
          </w:tcPr>
          <w:p>
            <w:pPr>
              <w:spacing w:after="0"/>
              <w:rPr>
                <w:sz w:val="12"/>
                <w:szCs w:val="12"/>
                <w:color w:val="auto"/>
              </w:rPr>
            </w:pPr>
          </w:p>
        </w:tc>
        <w:tc>
          <w:tcPr>
            <w:tcW w:w="11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31, 2006</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except</w:t>
            </w: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jc w:val="right"/>
              <w:ind w:right="28"/>
              <w:spacing w:after="0" w:line="128" w:lineRule="exact"/>
              <w:rPr>
                <w:sz w:val="20"/>
                <w:szCs w:val="20"/>
                <w:color w:val="auto"/>
              </w:rPr>
            </w:pPr>
            <w:r>
              <w:rPr>
                <w:rFonts w:ascii="Arial" w:cs="Arial" w:eastAsia="Arial" w:hAnsi="Arial"/>
                <w:sz w:val="14"/>
                <w:szCs w:val="14"/>
                <w:b w:val="1"/>
                <w:bCs w:val="1"/>
                <w:color w:val="auto"/>
              </w:rPr>
              <w:t>(In millions,</w:t>
            </w:r>
          </w:p>
        </w:tc>
        <w:tc>
          <w:tcPr>
            <w:tcW w:w="480" w:type="dxa"/>
            <w:vAlign w:val="bottom"/>
            <w:vMerge w:val="continue"/>
          </w:tcPr>
          <w:p>
            <w:pPr>
              <w:spacing w:after="0"/>
              <w:rPr>
                <w:sz w:val="11"/>
                <w:szCs w:val="11"/>
                <w:color w:val="auto"/>
              </w:rPr>
            </w:pPr>
          </w:p>
        </w:tc>
        <w:tc>
          <w:tcPr>
            <w:tcW w:w="980" w:type="dxa"/>
            <w:vAlign w:val="bottom"/>
          </w:tcPr>
          <w:p>
            <w:pPr>
              <w:spacing w:after="0" w:line="128" w:lineRule="exact"/>
              <w:rPr>
                <w:sz w:val="20"/>
                <w:szCs w:val="20"/>
                <w:color w:val="auto"/>
              </w:rPr>
            </w:pPr>
            <w:r>
              <w:rPr>
                <w:rFonts w:ascii="Arial" w:cs="Arial" w:eastAsia="Arial" w:hAnsi="Arial"/>
                <w:sz w:val="14"/>
                <w:szCs w:val="14"/>
                <w:b w:val="1"/>
                <w:bCs w:val="1"/>
                <w:color w:val="auto"/>
              </w:rPr>
              <w:t>percentages)</w:t>
            </w: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180" w:type="dxa"/>
            <w:vAlign w:val="bottom"/>
          </w:tcPr>
          <w:p>
            <w:pPr>
              <w:jc w:val="right"/>
              <w:ind w:right="259"/>
              <w:spacing w:after="0"/>
              <w:rPr>
                <w:sz w:val="20"/>
                <w:szCs w:val="20"/>
                <w:color w:val="auto"/>
              </w:rPr>
            </w:pPr>
            <w:r>
              <w:rPr>
                <w:rFonts w:ascii="Arial" w:cs="Arial" w:eastAsia="Arial" w:hAnsi="Arial"/>
                <w:sz w:val="18"/>
                <w:szCs w:val="18"/>
                <w:color w:val="auto"/>
              </w:rPr>
              <w:t>$ (1.7)</w:t>
            </w:r>
          </w:p>
        </w:tc>
        <w:tc>
          <w:tcPr>
            <w:tcW w:w="1680" w:type="dxa"/>
            <w:vAlign w:val="bottom"/>
            <w:gridSpan w:val="2"/>
          </w:tcPr>
          <w:p>
            <w:pPr>
              <w:jc w:val="right"/>
              <w:ind w:right="268"/>
              <w:spacing w:after="0"/>
              <w:rPr>
                <w:sz w:val="20"/>
                <w:szCs w:val="20"/>
                <w:color w:val="auto"/>
              </w:rPr>
            </w:pPr>
            <w:r>
              <w:rPr>
                <w:rFonts w:ascii="Arial" w:cs="Arial" w:eastAsia="Arial" w:hAnsi="Arial"/>
                <w:sz w:val="18"/>
                <w:szCs w:val="18"/>
                <w:color w:val="auto"/>
              </w:rPr>
              <w:t>$ (1.1)</w:t>
            </w:r>
          </w:p>
        </w:tc>
        <w:tc>
          <w:tcPr>
            <w:tcW w:w="1460" w:type="dxa"/>
            <w:vAlign w:val="bottom"/>
            <w:gridSpan w:val="2"/>
          </w:tcPr>
          <w:p>
            <w:pPr>
              <w:jc w:val="center"/>
              <w:ind w:left="379"/>
              <w:spacing w:after="0"/>
              <w:rPr>
                <w:sz w:val="20"/>
                <w:szCs w:val="20"/>
                <w:color w:val="auto"/>
              </w:rPr>
            </w:pPr>
            <w:r>
              <w:rPr>
                <w:rFonts w:ascii="Arial" w:cs="Arial" w:eastAsia="Arial" w:hAnsi="Arial"/>
                <w:sz w:val="18"/>
                <w:szCs w:val="18"/>
                <w:color w:val="auto"/>
                <w:w w:val="93"/>
              </w:rPr>
              <w:t>$(0.6)</w:t>
            </w:r>
          </w:p>
        </w:tc>
        <w:tc>
          <w:tcPr>
            <w:tcW w:w="1540" w:type="dxa"/>
            <w:vAlign w:val="bottom"/>
            <w:gridSpan w:val="2"/>
          </w:tcPr>
          <w:p>
            <w:pPr>
              <w:jc w:val="right"/>
              <w:ind w:right="48"/>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(25.4)%</w:t>
            </w:r>
          </w:p>
        </w:tc>
        <w:tc>
          <w:tcPr>
            <w:tcW w:w="1680" w:type="dxa"/>
            <w:vAlign w:val="bottom"/>
            <w:gridSpan w:val="2"/>
          </w:tcPr>
          <w:p>
            <w:pPr>
              <w:jc w:val="right"/>
              <w:ind w:right="128"/>
              <w:spacing w:after="0"/>
              <w:rPr>
                <w:sz w:val="20"/>
                <w:szCs w:val="20"/>
                <w:color w:val="auto"/>
              </w:rPr>
            </w:pPr>
            <w:r>
              <w:rPr>
                <w:rFonts w:ascii="Arial" w:cs="Arial" w:eastAsia="Arial" w:hAnsi="Arial"/>
                <w:sz w:val="18"/>
                <w:szCs w:val="18"/>
                <w:color w:val="auto"/>
              </w:rPr>
              <w:t>(20.4)%</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The increase in satellite services segment operating losses of $634,000 was primarily driven by a slight increase in operating costs in our managed broadband services business.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280" w:firstLine="215"/>
        <w:spacing w:after="0" w:line="342" w:lineRule="auto"/>
        <w:rPr>
          <w:sz w:val="20"/>
          <w:szCs w:val="20"/>
          <w:color w:val="auto"/>
        </w:rPr>
      </w:pPr>
      <w:r>
        <w:rPr>
          <w:rFonts w:ascii="Arial" w:cs="Arial" w:eastAsia="Arial" w:hAnsi="Arial"/>
          <w:sz w:val="16"/>
          <w:szCs w:val="16"/>
          <w:color w:val="auto"/>
        </w:rPr>
        <w:t>As reflected in the table below, funded and firm (funded plus unfunded) backlog decreased during fiscal year 2008 primarily due to some large contract awards that shifted from fiscal year 2008 into fiscal year 2009. New contract awards in the current fiscal year were a record for the company.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March 28, 2008</w:t>
            </w:r>
          </w:p>
        </w:tc>
        <w:tc>
          <w:tcPr>
            <w:tcW w:w="62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206.8</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154.5</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374.4</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186.1</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154.5</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firm backlog does not include contract options. Of the $374.4 million in firm backlog, approximately $264.6 million is expected to be delivered in fiscal year 2009, and the balance is expected to be delivered in fiscal year 2010 and thereafter. We include in our backlog only those orders for which we have accepted purchase orders. Over the last year, as more of our products have been placed into market, we have seen a greater percentage of awards from book and ship-type orders, resulting in backlog growth rate that is relatively lower than the previous three fiscal years.</w:t>
      </w:r>
    </w:p>
    <w:p>
      <w:pPr>
        <w:spacing w:after="0" w:line="63"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Total new awards for commercial, defense and satellite services products were $560.0 million for fiscal year 2008 compared to $525.0 million for fiscal year 2007.</w:t>
      </w:r>
    </w:p>
    <w:p>
      <w:pPr>
        <w:spacing w:after="0" w:line="6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since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purchase order.</w:t>
      </w:r>
    </w:p>
    <w:p>
      <w:pPr>
        <w:spacing w:after="0" w:line="79"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backlog amounts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60" w:firstLine="222"/>
        <w:spacing w:after="0" w:line="297"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and equity financing. The general cash needs of our government systems, commercial networks and satellite services segments can vary significantly and depend on the type and mix of contracts (i.e. product or service, development or production, and timing of payments) in backlog, the quality of the customer (i.e. U.S. government or commercial, domestic or international) and the duration of the contract. In addition, for all three of our segments, program performance significantly impacts the timing and amount of cash flows. If a program is performing and meeting its contractual requirements, then the cash flow requirements are usually lower.</w:t>
      </w:r>
    </w:p>
    <w:p>
      <w:pPr>
        <w:spacing w:after="0" w:line="50"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cash needs of the government systems segment tend to be more a function of the type of contract rather than customer quality. Also, U.S. government procurement regulations tend to restrict the timing of cash payments on the contract. In the commercial networks and satellite services segments, our cash needs are driven primarily by the quality of the customer and the type of contract. The quality of the customer will typically affect the specific contract cash flow and whether financing instruments are required by the customer. In addition, the commercial networks and satellite services environment tends to provide for more flexible payment terms with customers, including advance payments.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Cash provided by operating activities in fiscal year 2008 was $48.3 million as compared to cash provided by operating activities in fiscal year 2007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$66.7 million. The decrease in cash provided by operating activities in fiscal year 2008 compared to fiscal year 2007 of $18.4 million is primarily related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over year increase of operating assets and liabilities of $38.4 million, offset by higher year over year net income of $3.3 million and an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adjustments to net income for non-cash add-backs of $16.6 million. Accounts receivable increased by $15.7 million from prior fiscal year-end due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increased shipments in our government systems and commercial networks segments resulting from revenue growth and the achievement of program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milestones. At the end of fiscal year 2008, a customer withheld approximately $9.9 million in receivables payments until after year-end and these payments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were received shortly after year end. Had we received those payments, accounts receivable would have increased approximately $5.8 million and cash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provided by operating activities would have been $58.2 million.</w:t>
      </w:r>
    </w:p>
    <w:p>
      <w:pPr>
        <w:spacing w:after="0" w:line="10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Cash used in investing activities in fiscal year 2008 was $35.2 million as compared to cash used in investing activities in fiscal year 2007 of $23.0 million. The increase in cash used in investing activities primarily relates to acquisition activities: $8.7 million in cash paid to certain former ECC stockholders under the terms of the acquisition agreement for ECC, $260,000 in cash paid to former stockholders of Enerdyne under the terms of the Enerdyne acquisition agreement and approximately $851,000 in cash paid for the acquisition of JAST on the closing date under the terms of the JAST acquisition agreement. In addition, approximately $22.8 million in cash outflow relates to capital expenditures for the fiscal year 2008, of which $8.1 million relates to the ViaSat-1 satellite, a $7.3 million increase compared to fiscal year 2007.</w:t>
      </w:r>
    </w:p>
    <w:p>
      <w:pPr>
        <w:spacing w:after="0" w:line="85"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Cash provided by financing activities for fiscal year 2008 was $8.3 million as compared to $22.5 million for fiscal year 2007. The majority of the activity for both years is due to cash received from the exercise of employee stock options, stock purchases through our employee stock purchase plan and cash inflows related to the incremental tax benefit from stock based compensation slightly offset, in fiscal year 2008, by the repurchase of common stock related to net share settlement for certain employee tax liabilities in connection with the vesting of restricted stock unit awards during the third quarter of fiscal year 2008. Fiscal year 2007 also includes $4.7 million related to proceeds from a secured borrowing arrangement, we entered into in the fourth quarter of fiscal year 2007. Under the terms of this agreement, we pledged a note receivable from a customer to serve as collateral for the obligation under a borrowing. The arrangement also included recourse to certain other assets of the company in the event of customer default on the note receivable. No significant guarantees beyond the recourse provisions exist. This secured borrowing arrangement does not qualify as a sale of assets under FAS No. 140 (FAS 140), “Accounting for Transfers and Servicing of Financial Assets and Extinguishment of Liabilities,” as we have continued involvement related to the recourse provisions. As of March 28, 2008, we had $5.0 million of the secured borrowing recorded under accrued liabilities with a carrying value approximating the balance of the secured borrowing. As of March 30, 2007, we had $590,000 of the secured borrowing recorded under accrued liabilities and $4.1 million recorded under other long term liabilities with a carrying value approximating the balance of the secured borrowing. On March 31, 2008, subsequent to our 2008 fiscal year-end, we repaid the secured borrowing.</w:t>
      </w:r>
    </w:p>
    <w:p>
      <w:pPr>
        <w:spacing w:after="0" w:line="8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On May 23, 2006, in connection with our ECC acquisition, we agreed under the terms of the ECC acquisition agreement to pay the maximum additional consideration amount to the former ECC stockholders in the amount of $9.0 million, which was accrued as of March 30, 2007. The $9.0 million was payable in cash or stock, at our option, in May 2007. Accordingly, on May 30, 2007, we paid approximately $9.0 million of additional cash consideration to the former stockholders of ECC. The additional purchase price consideration of $9.0 million was recorded as additional goodwill in commercial networks segment in the first quarter of fiscal year 2007.</w:t>
      </w:r>
    </w:p>
    <w:p>
      <w:pPr>
        <w:spacing w:after="0" w:line="80" w:lineRule="exact"/>
        <w:rPr>
          <w:sz w:val="20"/>
          <w:szCs w:val="20"/>
          <w:color w:val="auto"/>
        </w:rPr>
      </w:pPr>
    </w:p>
    <w:p>
      <w:pPr>
        <w:ind w:right="180" w:firstLine="215"/>
        <w:spacing w:after="0" w:line="257" w:lineRule="auto"/>
        <w:rPr>
          <w:sz w:val="20"/>
          <w:szCs w:val="20"/>
          <w:color w:val="auto"/>
        </w:rPr>
      </w:pPr>
      <w:r>
        <w:rPr>
          <w:rFonts w:ascii="Arial" w:cs="Arial" w:eastAsia="Arial" w:hAnsi="Arial"/>
          <w:sz w:val="18"/>
          <w:szCs w:val="18"/>
          <w:color w:val="auto"/>
        </w:rPr>
        <w:t>As of March 30, 2007, in connection with our Enerdyne acquisition and under the terms of the Enerdyne acquisition agreement, we owed an additional consideration amount to the former Enerdyne stockholders in the amount of $5.9 million, which was accrued and recorded as additional goodwill in the government systems segment as of March 30, 2007. The $5.9 million was payable in cash and stock in accordance with certain terms of the arrangement, in May 2007. Accordingly, on May 3, 2007, we paid $5.9 million of additional consideration to the former stockholders of Enerdyne, which was comprised of 170,763 shares of common stock and $260,000 in cash.</w:t>
      </w:r>
    </w:p>
    <w:p>
      <w:pPr>
        <w:spacing w:after="0" w:line="80"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In January 2008, we entered into several agreements with Space Systems/Loral (SS/L), Loral Space &amp; Communications (Loral) and Telesat Canada (Telesat) related to our anticipated high capacity satellite system. Under the satellite construction contract with SS/L, we will purchase ViaSat-1, a new broadband satellite designed by us and to be constructed by SS/L for approximately $209.1 million, subject to purchase price adjustments based on satellite performance. We do not believe the purchase price paid by us to SS/L for the ViaSat-1 satellite will materially change. In addition, we entered into a Beam Sharing Agreement with Loral, whereby Loral is responsible for contributing 15% of the total costs (estimated at approximately $60 million) associated with the ViaSat-1 satellite project. As part of this arrangement, Loral executed a separate contract with SS/L whereby Loral is purchasing the Canadian beams on the ViaSat-1 satellite (Loral Beams) for approximately $36.9 million (15% of the total satellite cost of $246.0 million). In addition, Loral remains responsible under the Beam Sharing Agreement to reimburse us for costs associated with launch, launch and in-orbit insurance, and operating the satellite. The reimbursed costs payable to us from Loral for launch and insurance are expected to be approximately $23.1 million.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projected total cost of the ViaSat-1 project, including the satellite, launch, insurance and related gateway infrastructure, through satellite launch is estimated at $420.0 million, and will depend on the timing of the gateway infrastructure roll-out. We have a current strategy that would limit our total required investment. Our equity participation will be similar to our current cash and cash equivalents and the remaining amount would be funded by equity contributions from outside parties and/or debt collateralized by the satellite. Alternatively, we believe we have adequate sources of funding for the project, which includes our cash on hand, available borrowing capacity and the cash we expect to generate over the next few years. We believe this provides us flexibility to execute this project in an appropriate manner and obtain outside equity in the range indicated under terms that we consider reasonable.</w:t>
      </w:r>
    </w:p>
    <w:p>
      <w:pPr>
        <w:spacing w:after="0" w:line="57" w:lineRule="exact"/>
        <w:rPr>
          <w:sz w:val="20"/>
          <w:szCs w:val="20"/>
          <w:color w:val="auto"/>
        </w:rPr>
      </w:pPr>
    </w:p>
    <w:p>
      <w:pPr>
        <w:ind w:right="360" w:firstLine="215"/>
        <w:spacing w:after="0" w:line="279" w:lineRule="auto"/>
        <w:rPr>
          <w:sz w:val="20"/>
          <w:szCs w:val="20"/>
          <w:color w:val="auto"/>
        </w:rPr>
      </w:pPr>
      <w:r>
        <w:rPr>
          <w:rFonts w:ascii="Arial" w:cs="Arial" w:eastAsia="Arial" w:hAnsi="Arial"/>
          <w:sz w:val="17"/>
          <w:szCs w:val="17"/>
          <w:color w:val="auto"/>
        </w:rPr>
        <w:t>At March 28, 2008, we had $125.2 million in cash, cash equivalents and short-term investments, $248.3 million in working capital and no outstanding borrowings under our line of credit. We had $8.0 million outstanding under standby letters of credit, principally related to contract performance, leaving borrowing availability under our line of credit of $52.0 million. At March 30, 2007, we had $103.4 million in cash, cash equivalents and short-term investments, $187.4 million in working capital and no outstanding borrowings under our line of credit.</w:t>
      </w:r>
    </w:p>
    <w:p>
      <w:pPr>
        <w:spacing w:after="0" w:line="63"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On January 31, 2005, we entered into a three-year, $60 million revolving credit facility (the Facility) which was amended on January 25, 2008, extending the term of the Facility to April 30, 2008 and amended again on April 24, 2008, extending the term of the Facility to July 31, 2008. Borrowings under the Facility are permitted up to a maximum amount of $60 million, including up to $15 million of letters of credit. Borrowings under the Facility bear interest, at our option, at either the lender’s prime rate or at LIBOR (London Interbank Offered Rate) plus, in each case, an applicable margin based on the ratio of our total funded debt to EBITDA (income from operations plus depreciation and amortization). The Facility is collateralized by substantially all of our personal property assets.</w:t>
      </w:r>
    </w:p>
    <w:p>
      <w:pPr>
        <w:spacing w:after="0" w:line="85" w:lineRule="exact"/>
        <w:rPr>
          <w:sz w:val="20"/>
          <w:szCs w:val="20"/>
          <w:color w:val="auto"/>
        </w:rPr>
      </w:pPr>
    </w:p>
    <w:p>
      <w:pPr>
        <w:ind w:right="300" w:firstLine="222"/>
        <w:spacing w:after="0" w:line="259" w:lineRule="auto"/>
        <w:rPr>
          <w:sz w:val="20"/>
          <w:szCs w:val="20"/>
          <w:color w:val="auto"/>
        </w:rPr>
      </w:pPr>
      <w:r>
        <w:rPr>
          <w:rFonts w:ascii="Arial" w:cs="Arial" w:eastAsia="Arial" w:hAnsi="Arial"/>
          <w:sz w:val="18"/>
          <w:szCs w:val="18"/>
          <w:color w:val="auto"/>
        </w:rPr>
        <w:t>The Facility contains financial covenants that set a minimum EBITDA limit for the twelve-month period ending on the last day of any fiscal quarter at $30 million, a minimum tangible net worth as of the last day of any fiscal quarter at $135 million and a minimum quick ratio (sum of cash and cash equivalents, accounts receivable and marketable securities, divided by current liabilities) as of the last day of any fiscal quarter at 1.50 to 1.00. We were in compliance with our loan covenants at March 28, 2008.</w:t>
      </w:r>
    </w:p>
    <w:p>
      <w:pPr>
        <w:spacing w:after="0" w:line="79"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In April 2007, we filed a new universal shelf registration statement with the SEC for the future sale of up to an additional $200 million of debt securities, common stock, preferred stock, depositary shares and warrants. Additionally, we had available $200 million of these securities, which were previously registered under shelf registration statements we filed in June 2004 and September 2001. Up to an aggregate of $400 million of the securities may now be offered from time to time, separately or together, directly by us or through underwriters at amounts, prices, interest rates and other terms to be determined at the time of the offering.</w:t>
      </w:r>
    </w:p>
    <w:p>
      <w:pPr>
        <w:spacing w:after="0" w:line="80"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Our future capital requirements will depend upon many factors, including the timing of cash required for the ViaSat-1 satellite project and any future broadband satellite project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will be sufficient to meet our anticipated operating requirements for at least the next twelve months. However, we may sell additional equity or debt securities or obtain credit facilities to further enhance our liquidity position. The sale of additional securities could result in additional dilution of our stockholders. We invest our cash in excess of current operating requirements in short-term, interest-bearing, investment-grade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table sets forth a summary of our obligations under operating leases, irrevocable letters of credit, purchase commitments and other long-term liabilities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34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Fiscal Years Ending</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2010-2011</w:t>
            </w:r>
          </w:p>
        </w:tc>
        <w:tc>
          <w:tcPr>
            <w:tcW w:w="68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2012-2013</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After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$ 135,077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11,589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28,464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27,901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7,974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5,620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2,354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Secured borrowings and accrued interest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Purchase commitments including satellite procurement</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agreements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379,969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179,930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151,213</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6,858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$ 528,035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202,154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182,031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34,759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and operation of our ViaSat-1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5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Our Consolidated Balance Sheets as of March 28, 2008 and March 30, 2007 include $17.3 million and $13.3 million, respectively, classified as “Other liabilities.” This caption primarily consists of our long-term warranty obligations, deferred lease credits, long-term portion of our secured borrowing, and long-term unrecognized tax position liabilities. The secured borrowing obligations have been included in the table above based on the terms of the arrangement. These remaining liabilities have been excluded from the above table as the timing and/or the amount of any cash payment is uncertain. See Note 7 of the Notes to Consolidated Financial Statements for additional information regarding our income taxes and related tax positions and Note 11 for a discussion of our product warranties.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Relationships and Related-Party Transactions</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For a discussion of “Certain Relationships and Related-Party Transactions,” see Note 14 of the Notes to the Consolidated Financial Statements in Part II, Item 8 of this Annual Report, which we incorporate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We had no material off-balance sheet arrangements at March 28, 2008 as defined in Regulation S-K Item 303(a)(4) other than as discussed under Contractual Obligations above or fully disclosed in the notes to our financial statements included in this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In September 2006, the FASB issued Statement No. 157 (SFAS 157), “Fair Value Measurements.” SFAS 157 defines fair value, establishes guidelines for measuring fair value, and expands disclosures about fair value measurements. In February 2008, the FASB issued FASB Staff Position (“FSP”) FAS 157-1, “Application of FASB Statement No. 157 to FASB Statement No. 13 and Other Accounting Pronouncements That Address Fair Value Measurement for Purpose of Lease Classification of Measurement under Statement 13,” which amends SFAS 157 to exclude accounting pronouncements that address fair value measurements for purpose of lease classification or measurement under SFAS No. 13, “Accounting for Leases.” In February 2008, the FASB also issued FSP FAS 157-2, “Effective Date of FASB Statement No. 157”, which delays the effective date of SFAS 157 until the first quarter of fiscal 2010 for all non-financial assets and non-financial liabilities, except for items that are recognized or disclosed at fair value in the financial statements on a recurring basis (at least annually). SFAS 157 doe not require any new fair value measurements but rather eliminates inconsistencies in guidance found in various prior accounting pronouncements. SFAS 157 is effective for financial statements issued for fiscal years beginning after November 15, 2007 (our fiscal year 2009), and interim periods within those fiscal years. We are currently assessing the impact SFAS 157 will have on our results of operations and financial position.</w:t>
      </w:r>
    </w:p>
    <w:p>
      <w:pPr>
        <w:spacing w:after="0" w:line="6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February 2007, the FASB issued Statement No. 159 (SFAS 159), “The Fair Value Option for Financial Assets and Financial Liabilities,” which permits entities to choose to measure many financial instruments and certain other items at fair value that are not currently required to be measured at fair value. SFAS 159 will be effective for us in fiscal year 2009. We are currently evaluating the impact of adopting SFAS 159 on our financial position, cash flows, and results of operations.</w:t>
      </w:r>
    </w:p>
    <w:p>
      <w:pPr>
        <w:spacing w:after="0" w:line="79"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In June 2007, the FASB ratified Emerging Issues Task Force (EITF) Issue No. 07-3 (EITF 07-3), “Accounting for Nonrefundable Advance Payments for Goods or Services to Be Used in Future Research and Development Activities.” This issue provides that nonrefundable advance payments for goods or services that will be used or rendered for future research and development activities should be deferred and capitalized. Such amounts should be recognized as an expense as the related goods are delivered or the related services are performed. EITF 07-3 is effective for us in fiscal year 2009. The adoption of EITF Issue No. 07-3 is not expected to have a material impact on our consolidated financial position, results of operations and cash flows.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In December 2007, the FASB issued SFAS No. 141 (revised 2007), “Business Combinations” (SFAS 141R).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applies prospectively to business combinations for which the acquisition date is on or after January 1, 2009, except that resolution of certain tax contingencies and adjustments to valuation allowances related to business combinations, which previously were adjusted to goodwill, will be adjusted to income tax expense for all such adjustments after January 1, 2009, regardless of the date of the original business combination. SFAS 141R will be effective for us in fiscal year 2010. We are currently evaluating the impact of SFAS 141R.</w:t>
      </w:r>
    </w:p>
    <w:p>
      <w:pPr>
        <w:spacing w:after="0" w:line="67" w:lineRule="exact"/>
        <w:rPr>
          <w:sz w:val="20"/>
          <w:szCs w:val="20"/>
          <w:color w:val="auto"/>
        </w:rPr>
      </w:pPr>
    </w:p>
    <w:p>
      <w:pPr>
        <w:ind w:right="240" w:firstLine="225"/>
        <w:spacing w:after="0" w:line="297" w:lineRule="auto"/>
        <w:rPr>
          <w:sz w:val="20"/>
          <w:szCs w:val="20"/>
          <w:color w:val="auto"/>
        </w:rPr>
      </w:pPr>
      <w:r>
        <w:rPr>
          <w:rFonts w:ascii="Arial" w:cs="Arial" w:eastAsia="Arial" w:hAnsi="Arial"/>
          <w:sz w:val="16"/>
          <w:szCs w:val="16"/>
          <w:color w:val="auto"/>
        </w:rPr>
        <w:t>In December 2007, the FASB issued SFAS No. 160 (SFAS 160), “Noncontrolling Interests in Consolidated Financial Statements — an amendment of ARB No. 51.” SFAS 160, which changes the accounting and reporting for business acquisitions and non-controlling interests in subsidiaries, was issued to improve the relevance, comparability, and transparency of financial information provided to investors. Moreover, SFAS 160 eliminates the diversity that currently exists in accounting for transactions between an entity and non-controlling interests by requiring they be treated as equity transactions. SFAS 160 will be effective for us in fiscal year 2010. We are currently evaluating the impact that SFAS 160 will have on our financial statements and disclosures.</w:t>
      </w:r>
    </w:p>
    <w:p>
      <w:pPr>
        <w:spacing w:after="0" w:line="50"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In January 2008, the SEC released SAB No. 110 (SAB 110) which amends SAB No. 107 (SAB 107) “Share-Based Payment” which provided a simplified approach for estimating the expected term of a “plain vanilla” option, which is required for application of the Black-Scholes Model (and other models) for valuing stock options. At the time, the Staff acknowledged that, for companies choosing not to rely on their own historical option exercise data (i.e., because such data did not provide a reasonable basis for estimating the term), information about exercise patterns with respect to plain vanilla options granted by other companies might not be available in the near term; accordingly, in SAB 107, the Staff permitted use of a simplified approach for estimating the term of plain vanilla options granted on or before December 31, 2007. The information concerning exercise behavior that the Staff contemplated would be available by such date has not materialized for many companies. Thus, in SAB 110, the Staff continues to allow use of the simplified rule for estimating the expected term of plain vanilla options until such time as the relevant data do become widely available. The simplified method is based on the vesting period and contractual term for each vesting tranche of awards. The mid-point between the vesting date and the expiration date is used as the expected term under this method. SAB 110 is effective January 1, 2008. We currently use the “simplified” method to estimate the expected term for share option grants as we do not have enough historical experience to provide a reasonable estimate due to significant changes in our stock option terms in October of 2006. We will continue to use the “simplified” method until we have enough historical experience to provide a reasonable estimate of expected term in accordance with SAB 110.</w:t>
      </w:r>
    </w:p>
    <w:p>
      <w:pPr>
        <w:spacing w:after="0" w:line="6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In March 2008, the FASB issued SFAS No. 161 (SFAS 161), “Disclosures about Derivative Instruments and Hedging Activities, an Amendment of FASB Statement No. 133,” which requires additional disclosures about the objectives of the derivative instruments and hedging activities, the method of accounting for such instruments under SFAS No. 133 and its related interpretations, and a tabular disclosure of the effects of such instruments and related hedged items on our financial position, financial performance, and cash flows. SFAS 161 will be effective for us in fiscal year 2010. We are currently assessing the potential impact that adoption of SFAS 161 may have on our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300" w:firstLine="225"/>
        <w:spacing w:after="0" w:line="302" w:lineRule="auto"/>
        <w:rPr>
          <w:sz w:val="20"/>
          <w:szCs w:val="20"/>
          <w:color w:val="auto"/>
        </w:rPr>
      </w:pPr>
      <w:r>
        <w:rPr>
          <w:rFonts w:ascii="Arial" w:cs="Arial" w:eastAsia="Arial" w:hAnsi="Arial"/>
          <w:sz w:val="16"/>
          <w:szCs w:val="16"/>
          <w:color w:val="auto"/>
        </w:rPr>
        <w:t>Our financial instruments consist of cash and cash equivalents, short-term investments, trade accounts receivable, accounts payable, and short-term obligations including the revolving line of credit. We consider investments in highly liquid instruments purchased with a remaining maturity of 90 days or less at the date of purchase to be cash equivalents. Our exposure to market risk for changes in interest rates relates primarily to short-term investments and short-term obligations. As a result, we do not expect fluctuations in interest rates to have a material impact on the fair value of these securities.</w:t>
      </w:r>
    </w:p>
    <w:p>
      <w:pPr>
        <w:spacing w:after="0" w:line="46" w:lineRule="exact"/>
        <w:rPr>
          <w:sz w:val="20"/>
          <w:szCs w:val="20"/>
          <w:color w:val="auto"/>
        </w:rPr>
      </w:pPr>
    </w:p>
    <w:p>
      <w:pPr>
        <w:ind w:right="60" w:firstLine="215"/>
        <w:spacing w:after="0" w:line="277" w:lineRule="auto"/>
        <w:rPr>
          <w:sz w:val="20"/>
          <w:szCs w:val="20"/>
          <w:color w:val="auto"/>
        </w:rPr>
      </w:pPr>
      <w:r>
        <w:rPr>
          <w:rFonts w:ascii="Arial" w:cs="Arial" w:eastAsia="Arial" w:hAnsi="Arial"/>
          <w:sz w:val="18"/>
          <w:szCs w:val="18"/>
          <w:color w:val="auto"/>
        </w:rPr>
        <w:t>As of March 28, 2008, there was no foreign currency exchange contract outstanding. From time to time, we enter into foreign currency exchange contracts to reduce the foreign currency risk for amounts payable to vendors in Euros.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Our consolidated financial statements at March 28, 2008 and March 30, 2007 and for each of the three years in the period ended March 28, 2008, and the Report of PricewaterhouseCoopers LLP, Independent Registered Public Accounting Firm, are included in this Annual Report on pages F-1 through F-34.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2008 and 2007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1st Quarter</w:t>
            </w:r>
          </w:p>
        </w:tc>
        <w:tc>
          <w:tcPr>
            <w:tcW w:w="460" w:type="dxa"/>
            <w:vAlign w:val="bottom"/>
          </w:tcPr>
          <w:p>
            <w:pPr>
              <w:spacing w:after="0"/>
              <w:rPr>
                <w:sz w:val="14"/>
                <w:szCs w:val="14"/>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2nd Quarter</w:t>
            </w: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4"/>
              </w:rPr>
              <w:t>except</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3rd Quarter</w:t>
            </w:r>
          </w:p>
        </w:tc>
        <w:tc>
          <w:tcPr>
            <w:tcW w:w="460" w:type="dxa"/>
            <w:vAlign w:val="bottom"/>
          </w:tcPr>
          <w:p>
            <w:pPr>
              <w:spacing w:after="0"/>
              <w:rPr>
                <w:sz w:val="14"/>
                <w:szCs w:val="14"/>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4th Quarter</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40" w:type="dxa"/>
            <w:vAlign w:val="bottom"/>
            <w:vMerge w:val="continue"/>
          </w:tcPr>
          <w:p>
            <w:pPr>
              <w:spacing w:after="0"/>
              <w:rPr>
                <w:sz w:val="12"/>
                <w:szCs w:val="12"/>
                <w:color w:val="auto"/>
              </w:rPr>
            </w:pPr>
          </w:p>
        </w:tc>
        <w:tc>
          <w:tcPr>
            <w:tcW w:w="128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Revenues</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$128,562</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$146,625</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$152,053</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$147,410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4,666</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10,864</w:t>
            </w:r>
          </w:p>
        </w:tc>
        <w:tc>
          <w:tcPr>
            <w:tcW w:w="1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14,497</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4,181</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8,585</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10,225</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10,522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0.14</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0.28</w:t>
            </w:r>
          </w:p>
        </w:tc>
        <w:tc>
          <w:tcPr>
            <w:tcW w:w="1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0.34</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0.13</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0.27</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0.32</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Revenues</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$128,701</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$131,501</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$124,336</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$132,028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7,890</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9,814</w:t>
            </w:r>
          </w:p>
        </w:tc>
        <w:tc>
          <w:tcPr>
            <w:tcW w:w="1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8,183</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9,558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5,361</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6,539</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9,690</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0.19</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0.23</w:t>
            </w:r>
          </w:p>
        </w:tc>
        <w:tc>
          <w:tcPr>
            <w:tcW w:w="1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0.34</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0.18</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0.21</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0.31</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7" w:lineRule="exact"/>
        <w:rPr>
          <w:sz w:val="20"/>
          <w:szCs w:val="20"/>
          <w:color w:val="auto"/>
        </w:rPr>
      </w:pPr>
    </w:p>
    <w:p>
      <w:pPr>
        <w:ind w:right="280" w:firstLine="215"/>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28, 2008, the end of the period covered by this Annual Report. Based upon the foregoing, our Chief Executive Officer and Chief Financial Officer concluded that our disclosure controls and procedures were effective at a reasonable assurance level as of March 28, 2008.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During the quarter ended March 28, 2008, there have been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principal executive officer and principal financial officer, the company conducted an evaluation of the effectiveness of its internal control over financial reporting based on criteria established in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this evaluation, the company’s management concluded that its internal control over financial reporting was effective as of March 28, 2008.</w:t>
      </w:r>
    </w:p>
    <w:p>
      <w:pPr>
        <w:spacing w:after="0" w:line="85"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20" w:firstLine="222"/>
        <w:spacing w:after="0" w:line="277"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March 28, 2008, as stated in their report which appears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OF THE REGISTRANT AND CORPORATE GOVERNANCE</w:t>
      </w:r>
    </w:p>
    <w:p>
      <w:pPr>
        <w:spacing w:after="0" w:line="121" w:lineRule="exact"/>
        <w:rPr>
          <w:sz w:val="20"/>
          <w:szCs w:val="20"/>
          <w:color w:val="auto"/>
        </w:rPr>
      </w:pPr>
    </w:p>
    <w:p>
      <w:pPr>
        <w:ind w:right="100" w:firstLine="222"/>
        <w:spacing w:after="0" w:line="342" w:lineRule="auto"/>
        <w:rPr>
          <w:sz w:val="20"/>
          <w:szCs w:val="20"/>
          <w:color w:val="auto"/>
        </w:rPr>
      </w:pPr>
      <w:r>
        <w:rPr>
          <w:rFonts w:ascii="Arial" w:cs="Arial" w:eastAsia="Arial" w:hAnsi="Arial"/>
          <w:sz w:val="16"/>
          <w:szCs w:val="16"/>
          <w:color w:val="auto"/>
        </w:rPr>
        <w:t>The information required by this item is included in our definitive Proxy Statement to be filed with the SEC in connection with our 2008 Annual Meeting of Stockholders (the Proxy Statement) under the headings “Election of Directors” and “Executive Officers” and is incorporated herein by reference.</w:t>
      </w:r>
    </w:p>
    <w:p>
      <w:pPr>
        <w:spacing w:after="0" w:line="16"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62"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500" w:firstLine="222"/>
        <w:spacing w:after="0" w:line="342" w:lineRule="auto"/>
        <w:rPr>
          <w:sz w:val="20"/>
          <w:szCs w:val="20"/>
          <w:color w:val="auto"/>
        </w:rPr>
      </w:pPr>
      <w:r>
        <w:rPr>
          <w:rFonts w:ascii="Arial" w:cs="Arial" w:eastAsia="Arial" w:hAnsi="Arial"/>
          <w:sz w:val="16"/>
          <w:szCs w:val="16"/>
          <w:color w:val="auto"/>
        </w:rPr>
        <w:t>The information required by this item is included in the Proxy Statement under the headings “Executive Compensation and Other Information,” “Compensation Discussion and Analysis” and “Compensation Committee Interlocks and Insider Participation” and is incorporated herein by reference.</w:t>
      </w:r>
    </w:p>
    <w:p>
      <w:pPr>
        <w:spacing w:after="0" w:line="120"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information required by this item is included in the Proxy Statement under the headings “Security Ownership of Certain Beneficial Owners and Management” and “Equity Compensation Plan Information”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information required by this item is included in the Proxy Statement under the heading “Election of Directors,” “Compensation Committee Interlocks and Insider Participation” and “Certain Relationships and Related Transactions” and is incorporated herein by reference.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720" w:firstLine="222"/>
        <w:spacing w:after="0" w:line="277" w:lineRule="auto"/>
        <w:rPr>
          <w:sz w:val="20"/>
          <w:szCs w:val="20"/>
          <w:color w:val="auto"/>
        </w:rPr>
      </w:pPr>
      <w:r>
        <w:rPr>
          <w:rFonts w:ascii="Arial" w:cs="Arial" w:eastAsia="Arial" w:hAnsi="Arial"/>
          <w:sz w:val="18"/>
          <w:szCs w:val="18"/>
          <w:color w:val="auto"/>
        </w:rPr>
        <w:t>The information required by this item is included in the Proxy Statement under the heading “Relationship With Independent Accountants.” and is incorporated by reference.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140" w:type="dxa"/>
            <w:vAlign w:val="bottom"/>
            <w:gridSpan w:val="5"/>
          </w:tcPr>
          <w:p>
            <w:pPr>
              <w:ind w:left="880"/>
              <w:spacing w:after="0"/>
              <w:rPr>
                <w:sz w:val="20"/>
                <w:szCs w:val="20"/>
                <w:color w:val="auto"/>
              </w:rPr>
            </w:pPr>
            <w:r>
              <w:rPr>
                <w:rFonts w:ascii="Arial" w:cs="Arial" w:eastAsia="Arial" w:hAnsi="Arial"/>
                <w:sz w:val="18"/>
                <w:szCs w:val="18"/>
                <w:b w:val="1"/>
                <w:bCs w:val="1"/>
                <w:color w:val="auto"/>
              </w:rPr>
              <w:t>PART IV</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2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2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1"/>
        </w:trPr>
        <w:tc>
          <w:tcPr>
            <w:tcW w:w="10620" w:type="dxa"/>
            <w:vAlign w:val="bottom"/>
            <w:gridSpan w:val="11"/>
            <w:vMerge w:val="restart"/>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(1) Report of Independent Registered Public Accounting Firm</w:t>
              </w:r>
            </w:hyperlink>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9"/>
        </w:trPr>
        <w:tc>
          <w:tcPr>
            <w:tcW w:w="10620" w:type="dxa"/>
            <w:vAlign w:val="bottom"/>
            <w:gridSpan w:val="11"/>
            <w:vMerge w:val="continue"/>
          </w:tcPr>
          <w:p>
            <w:pPr>
              <w:spacing w:after="0"/>
              <w:rPr>
                <w:sz w:val="14"/>
                <w:szCs w:val="14"/>
                <w:color w:val="auto"/>
              </w:rPr>
            </w:pPr>
          </w:p>
        </w:tc>
        <w:tc>
          <w:tcPr>
            <w:tcW w:w="800" w:type="dxa"/>
            <w:vAlign w:val="bottom"/>
          </w:tcPr>
          <w:p>
            <w:pPr>
              <w:jc w:val="center"/>
              <w:spacing w:after="0" w:line="170"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1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Balance Sheets as of March 28, 2008 and March 30, 2007</w:t>
              </w:r>
            </w:hyperlink>
          </w:p>
        </w:tc>
        <w:tc>
          <w:tcPr>
            <w:tcW w:w="524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00" w:type="dxa"/>
            <w:vAlign w:val="bottom"/>
            <w:gridSpan w:val="1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Operations for the years ended March 28, 2008, March 30, 2007 and March 31, 2006</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Cash Flows for the years ended March 28, 2008, March 30, 2007 and March 31, 2006</w:t>
              </w:r>
            </w:hyperlink>
          </w:p>
        </w:tc>
        <w:tc>
          <w:tcPr>
            <w:tcW w:w="2200" w:type="dxa"/>
            <w:vAlign w:val="bottom"/>
            <w:gridSpan w:val="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9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Consolidated Statements of Stockholders’ Equity and Comprehensive Income (Loss) for the years ended March 28, 2008, March 30, 2007</w:t>
              </w:r>
            </w:hyperlink>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and March 31, 2006</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00" w:type="dxa"/>
            <w:vAlign w:val="bottom"/>
            <w:gridSpan w:val="1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Notes to the Consolidated Financial Statements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1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(2) Schedule II — Valuation and Qualifying Accounts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All other schedules are omitted because they are not applicable or the required information is shown in the financial statements or notes thereto.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list in the Index to Exhibits is incorporated herein by reference as the list of exhibits required as part of this report.</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VIASAT, INC.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23, 2008</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MARK D. DANKBERG</w:t>
            </w:r>
          </w:p>
        </w:tc>
      </w:tr>
      <w:tr>
        <w:trPr>
          <w:trHeight w:val="224"/>
        </w:trPr>
        <w:tc>
          <w:tcPr>
            <w:tcW w:w="3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79"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 Dankberg and Ronald G. Wangerin, jointly and severally, his attorneys-in-fact, each with the full power of substitution, for him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4"/>
                <w:szCs w:val="14"/>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r>
      <w:tr>
        <w:trPr>
          <w:trHeight w:val="42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 DANKBERG</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Chairman of the Board and</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23, 2008</w:t>
            </w:r>
          </w:p>
        </w:tc>
      </w:tr>
      <w:tr>
        <w:trPr>
          <w:trHeight w:val="182"/>
        </w:trPr>
        <w:tc>
          <w:tcPr>
            <w:tcW w:w="4580" w:type="dxa"/>
            <w:vAlign w:val="bottom"/>
          </w:tcPr>
          <w:p>
            <w:pPr>
              <w:spacing w:after="0" w:line="182" w:lineRule="exact"/>
              <w:rPr>
                <w:sz w:val="20"/>
                <w:szCs w:val="20"/>
                <w:color w:val="auto"/>
              </w:rPr>
            </w:pPr>
            <w:r>
              <w:rPr>
                <w:rFonts w:ascii="Arial" w:cs="Arial" w:eastAsia="Arial" w:hAnsi="Arial"/>
                <w:sz w:val="18"/>
                <w:szCs w:val="18"/>
                <w:color w:val="auto"/>
              </w:rPr>
              <w:t>Mark D. Dankberg</w:t>
            </w:r>
          </w:p>
        </w:tc>
        <w:tc>
          <w:tcPr>
            <w:tcW w:w="340" w:type="dxa"/>
            <w:vAlign w:val="bottom"/>
          </w:tcPr>
          <w:p>
            <w:pPr>
              <w:spacing w:after="0"/>
              <w:rPr>
                <w:sz w:val="15"/>
                <w:szCs w:val="15"/>
                <w:color w:val="auto"/>
              </w:rPr>
            </w:pPr>
          </w:p>
        </w:tc>
        <w:tc>
          <w:tcPr>
            <w:tcW w:w="4560" w:type="dxa"/>
            <w:vAlign w:val="bottom"/>
          </w:tcPr>
          <w:p>
            <w:pPr>
              <w:jc w:val="center"/>
              <w:spacing w:after="0" w:line="182" w:lineRule="exact"/>
              <w:rPr>
                <w:sz w:val="20"/>
                <w:szCs w:val="20"/>
                <w:color w:val="auto"/>
              </w:rPr>
            </w:pPr>
            <w:r>
              <w:rPr>
                <w:rFonts w:ascii="Arial" w:cs="Arial" w:eastAsia="Arial" w:hAnsi="Arial"/>
                <w:sz w:val="18"/>
                <w:szCs w:val="18"/>
                <w:color w:val="auto"/>
                <w:w w:val="93"/>
              </w:rPr>
              <w:t>Chief Executive Officer</w:t>
            </w: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0"/>
        </w:trPr>
        <w:tc>
          <w:tcPr>
            <w:tcW w:w="4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G. WANGERIN</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Vice President, Chief</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23, 2008</w:t>
            </w:r>
          </w:p>
        </w:tc>
      </w:tr>
      <w:tr>
        <w:trPr>
          <w:trHeight w:val="182"/>
        </w:trPr>
        <w:tc>
          <w:tcPr>
            <w:tcW w:w="4580" w:type="dxa"/>
            <w:vAlign w:val="bottom"/>
          </w:tcPr>
          <w:p>
            <w:pPr>
              <w:spacing w:after="0" w:line="182" w:lineRule="exact"/>
              <w:rPr>
                <w:sz w:val="20"/>
                <w:szCs w:val="20"/>
                <w:color w:val="auto"/>
              </w:rPr>
            </w:pPr>
            <w:r>
              <w:rPr>
                <w:rFonts w:ascii="Arial" w:cs="Arial" w:eastAsia="Arial" w:hAnsi="Arial"/>
                <w:sz w:val="18"/>
                <w:szCs w:val="18"/>
                <w:color w:val="auto"/>
              </w:rPr>
              <w:t>Ronald G. Wangerin</w:t>
            </w:r>
          </w:p>
        </w:tc>
        <w:tc>
          <w:tcPr>
            <w:tcW w:w="340" w:type="dxa"/>
            <w:vAlign w:val="bottom"/>
          </w:tcPr>
          <w:p>
            <w:pPr>
              <w:spacing w:after="0"/>
              <w:rPr>
                <w:sz w:val="15"/>
                <w:szCs w:val="15"/>
                <w:color w:val="auto"/>
              </w:rPr>
            </w:pPr>
          </w:p>
        </w:tc>
        <w:tc>
          <w:tcPr>
            <w:tcW w:w="4560" w:type="dxa"/>
            <w:vAlign w:val="bottom"/>
          </w:tcPr>
          <w:p>
            <w:pPr>
              <w:jc w:val="center"/>
              <w:spacing w:after="0" w:line="182" w:lineRule="exact"/>
              <w:rPr>
                <w:sz w:val="20"/>
                <w:szCs w:val="20"/>
                <w:color w:val="auto"/>
              </w:rPr>
            </w:pPr>
            <w:r>
              <w:rPr>
                <w:rFonts w:ascii="Arial" w:cs="Arial" w:eastAsia="Arial" w:hAnsi="Arial"/>
                <w:sz w:val="18"/>
                <w:szCs w:val="18"/>
                <w:color w:val="auto"/>
                <w:w w:val="93"/>
              </w:rPr>
              <w:t>Financial Officer</w:t>
            </w: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0"/>
        </w:trPr>
        <w:tc>
          <w:tcPr>
            <w:tcW w:w="4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JOHNSON</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23, 2008</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Robert W. Johnson</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NASH</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23, 2008</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Jeffrey M. Nash</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 ALLEN LAY</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23, 2008</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B. Allen Lay</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TARGOFF</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23, 2008</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Michael B. Targoff</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STENBIT</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23, 2008</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John P. Stenbit</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HARVEY P. WHITE</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23, 2008</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Harvey P. White</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04"/>
        </w:trPr>
        <w:tc>
          <w:tcPr>
            <w:tcW w:w="4580" w:type="dxa"/>
            <w:vAlign w:val="bottom"/>
          </w:tcPr>
          <w:p>
            <w:pPr>
              <w:spacing w:after="0"/>
              <w:rPr>
                <w:sz w:val="24"/>
                <w:szCs w:val="24"/>
                <w:color w:val="auto"/>
              </w:rPr>
            </w:pPr>
          </w:p>
        </w:tc>
        <w:tc>
          <w:tcPr>
            <w:tcW w:w="4900" w:type="dxa"/>
            <w:vAlign w:val="bottom"/>
            <w:gridSpan w:val="2"/>
          </w:tcPr>
          <w:p>
            <w:pPr>
              <w:jc w:val="right"/>
              <w:ind w:right="3591"/>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4"/>
              </w:rPr>
              <w:t>Incorporated by Reference</w:t>
            </w:r>
          </w:p>
        </w:tc>
        <w:tc>
          <w:tcPr>
            <w:tcW w:w="1180" w:type="dxa"/>
            <w:vAlign w:val="bottom"/>
            <w:tcBorders>
              <w:bottom w:val="single" w:sz="8" w:color="auto"/>
            </w:tcBorders>
          </w:tcPr>
          <w:p>
            <w:pPr>
              <w:spacing w:after="0"/>
              <w:rPr>
                <w:sz w:val="14"/>
                <w:szCs w:val="14"/>
                <w:color w:val="auto"/>
              </w:rPr>
            </w:pPr>
          </w:p>
        </w:tc>
      </w:tr>
      <w:tr>
        <w:trPr>
          <w:trHeight w:val="142"/>
        </w:trPr>
        <w:tc>
          <w:tcPr>
            <w:tcW w:w="8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Number</w:t>
            </w:r>
          </w:p>
        </w:tc>
        <w:tc>
          <w:tcPr>
            <w:tcW w:w="5700" w:type="dxa"/>
            <w:vAlign w:val="bottom"/>
          </w:tcPr>
          <w:p>
            <w:pPr>
              <w:spacing w:after="0" w:line="142" w:lineRule="exact"/>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5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1160" w:type="dxa"/>
            <w:vAlign w:val="bottom"/>
          </w:tcPr>
          <w:p>
            <w:pPr>
              <w:ind w:left="340"/>
              <w:spacing w:after="0" w:line="142" w:lineRule="exact"/>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2"/>
                <w:szCs w:val="12"/>
                <w:color w:val="auto"/>
              </w:rPr>
            </w:pPr>
          </w:p>
        </w:tc>
        <w:tc>
          <w:tcPr>
            <w:tcW w:w="9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Exhibit</w:t>
            </w:r>
          </w:p>
        </w:tc>
        <w:tc>
          <w:tcPr>
            <w:tcW w:w="118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224"/>
        </w:trPr>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Amended and Restated Bylaws of ViaSat, Inc.</w:t>
            </w: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S-3</w:t>
            </w: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333-116468</w:t>
            </w: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18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w w:val="88"/>
              </w:rPr>
              <w:t>06/14/2004</w:t>
            </w: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5700" w:type="dxa"/>
            <w:vAlign w:val="bottom"/>
          </w:tcPr>
          <w:p>
            <w:pPr>
              <w:spacing w:after="0"/>
              <w:rPr>
                <w:sz w:val="20"/>
                <w:szCs w:val="20"/>
                <w:color w:val="auto"/>
              </w:rPr>
            </w:pPr>
            <w:r>
              <w:rPr>
                <w:rFonts w:ascii="Arial" w:cs="Arial" w:eastAsia="Arial" w:hAnsi="Arial"/>
                <w:sz w:val="18"/>
                <w:szCs w:val="18"/>
                <w:color w:val="auto"/>
                <w:w w:val="96"/>
              </w:rPr>
              <w:t>Second Amended and Restated Certificate of Incorporation of ViaSat, Inc.</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10-Q</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w w:val="86"/>
              </w:rPr>
              <w:t>11/14/2000</w:t>
            </w:r>
          </w:p>
        </w:tc>
      </w:tr>
      <w:tr>
        <w:trPr>
          <w:trHeight w:val="432"/>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5700" w:type="dxa"/>
            <w:vAlign w:val="bottom"/>
          </w:tcPr>
          <w:p>
            <w:pPr>
              <w:spacing w:after="0"/>
              <w:rPr>
                <w:sz w:val="20"/>
                <w:szCs w:val="20"/>
                <w:color w:val="auto"/>
              </w:rPr>
            </w:pPr>
            <w:r>
              <w:rPr>
                <w:rFonts w:ascii="Arial" w:cs="Arial" w:eastAsia="Arial" w:hAnsi="Arial"/>
                <w:sz w:val="18"/>
                <w:szCs w:val="18"/>
                <w:color w:val="auto"/>
              </w:rPr>
              <w:t>Form of Common Stock Certificate</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S-1/A</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333-13183</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w w:val="86"/>
              </w:rPr>
              <w:t>11/05/1996</w:t>
            </w: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5700" w:type="dxa"/>
            <w:vAlign w:val="bottom"/>
          </w:tcPr>
          <w:p>
            <w:pPr>
              <w:spacing w:after="0"/>
              <w:rPr>
                <w:sz w:val="20"/>
                <w:szCs w:val="20"/>
                <w:color w:val="auto"/>
              </w:rPr>
            </w:pPr>
            <w:r>
              <w:rPr>
                <w:rFonts w:ascii="Arial" w:cs="Arial" w:eastAsia="Arial" w:hAnsi="Arial"/>
                <w:sz w:val="18"/>
                <w:szCs w:val="18"/>
                <w:color w:val="auto"/>
                <w:w w:val="99"/>
              </w:rPr>
              <w:t>Form of Indemnification Agreement between ViaSat, Inc. and each of its</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w w:val="88"/>
              </w:rPr>
              <w:t>03/07/2008</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directors and officers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5700" w:type="dxa"/>
            <w:vAlign w:val="bottom"/>
          </w:tcPr>
          <w:p>
            <w:pPr>
              <w:spacing w:after="0"/>
              <w:rPr>
                <w:sz w:val="20"/>
                <w:szCs w:val="20"/>
                <w:color w:val="auto"/>
              </w:rPr>
            </w:pPr>
            <w:r>
              <w:rPr>
                <w:rFonts w:ascii="Arial" w:cs="Arial" w:eastAsia="Arial" w:hAnsi="Arial"/>
                <w:sz w:val="18"/>
                <w:szCs w:val="18"/>
                <w:color w:val="auto"/>
              </w:rPr>
              <w:t>ViaSat, Inc. 401(k) Profit Sharing Plan</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S-1</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333-13183</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w w:val="86"/>
              </w:rPr>
              <w:t>10/11/1996</w:t>
            </w:r>
          </w:p>
        </w:tc>
      </w:tr>
      <w:tr>
        <w:trPr>
          <w:trHeight w:val="432"/>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5700" w:type="dxa"/>
            <w:vAlign w:val="bottom"/>
          </w:tcPr>
          <w:p>
            <w:pPr>
              <w:spacing w:after="0"/>
              <w:rPr>
                <w:sz w:val="20"/>
                <w:szCs w:val="20"/>
                <w:color w:val="auto"/>
              </w:rPr>
            </w:pPr>
            <w:r>
              <w:rPr>
                <w:rFonts w:ascii="Arial" w:cs="Arial" w:eastAsia="Arial" w:hAnsi="Arial"/>
                <w:sz w:val="18"/>
                <w:szCs w:val="18"/>
                <w:color w:val="auto"/>
              </w:rPr>
              <w:t>The ViaSat, Inc. Employee Stock Purchase Plan, as amended</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10-K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w w:val="88"/>
              </w:rPr>
              <w:t>06/06/2006</w:t>
            </w:r>
          </w:p>
        </w:tc>
      </w:tr>
      <w:tr>
        <w:trPr>
          <w:trHeight w:val="432"/>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5700" w:type="dxa"/>
            <w:vAlign w:val="bottom"/>
          </w:tcPr>
          <w:p>
            <w:pPr>
              <w:spacing w:after="0"/>
              <w:rPr>
                <w:sz w:val="20"/>
                <w:szCs w:val="20"/>
                <w:color w:val="auto"/>
              </w:rPr>
            </w:pPr>
            <w:r>
              <w:rPr>
                <w:rFonts w:ascii="Arial" w:cs="Arial" w:eastAsia="Arial" w:hAnsi="Arial"/>
                <w:sz w:val="18"/>
                <w:szCs w:val="18"/>
                <w:color w:val="auto"/>
                <w:w w:val="95"/>
              </w:rPr>
              <w:t>Third Amended and Restated 1996 Equity Participation Plan of ViaSat, Inc.</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w w:val="88"/>
              </w:rPr>
              <w:t>10/10/2006</w:t>
            </w: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5700" w:type="dxa"/>
            <w:vAlign w:val="bottom"/>
          </w:tcPr>
          <w:p>
            <w:pPr>
              <w:spacing w:after="0"/>
              <w:rPr>
                <w:sz w:val="20"/>
                <w:szCs w:val="20"/>
                <w:color w:val="auto"/>
              </w:rPr>
            </w:pPr>
            <w:r>
              <w:rPr>
                <w:rFonts w:ascii="Arial" w:cs="Arial" w:eastAsia="Arial" w:hAnsi="Arial"/>
                <w:sz w:val="18"/>
                <w:szCs w:val="18"/>
                <w:color w:val="auto"/>
                <w:w w:val="97"/>
              </w:rPr>
              <w:t>Form of Incentive Stock Option Agreement under the Third Amended and</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S-1/A</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333-13183</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w w:val="86"/>
              </w:rPr>
              <w:t>11/20/1996</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Restated 1996 Equity Participation Plan</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5700" w:type="dxa"/>
            <w:vAlign w:val="bottom"/>
          </w:tcPr>
          <w:p>
            <w:pPr>
              <w:spacing w:after="0"/>
              <w:rPr>
                <w:sz w:val="20"/>
                <w:szCs w:val="20"/>
                <w:color w:val="auto"/>
              </w:rPr>
            </w:pPr>
            <w:r>
              <w:rPr>
                <w:rFonts w:ascii="Arial" w:cs="Arial" w:eastAsia="Arial" w:hAnsi="Arial"/>
                <w:sz w:val="18"/>
                <w:szCs w:val="18"/>
                <w:color w:val="auto"/>
                <w:w w:val="92"/>
              </w:rPr>
              <w:t>Form of Nonqualified Stock Option Agreement under the Third Amended and</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S-1/A</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333-13183</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w w:val="86"/>
              </w:rPr>
              <w:t>11/20/1996</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Restated 1996 Equity Participation Plan</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5700" w:type="dxa"/>
            <w:vAlign w:val="bottom"/>
          </w:tcPr>
          <w:p>
            <w:pPr>
              <w:spacing w:after="0"/>
              <w:rPr>
                <w:sz w:val="20"/>
                <w:szCs w:val="20"/>
                <w:color w:val="auto"/>
              </w:rPr>
            </w:pPr>
            <w:r>
              <w:rPr>
                <w:rFonts w:ascii="Arial" w:cs="Arial" w:eastAsia="Arial" w:hAnsi="Arial"/>
                <w:sz w:val="18"/>
                <w:szCs w:val="18"/>
                <w:color w:val="auto"/>
                <w:w w:val="95"/>
              </w:rPr>
              <w:t>Form of Restricted Stock Unit Award Agreement under the Third Amended</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4"/>
                <w:szCs w:val="24"/>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w w:val="88"/>
              </w:rPr>
              <w:t>03/07/2008</w:t>
            </w: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8"/>
              </w:rPr>
              <w:t>and Restated 1996 Equity Participation Plan of ViaSat, Inc. (for grants to</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employees)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5700" w:type="dxa"/>
            <w:vAlign w:val="bottom"/>
          </w:tcPr>
          <w:p>
            <w:pPr>
              <w:spacing w:after="0"/>
              <w:rPr>
                <w:sz w:val="20"/>
                <w:szCs w:val="20"/>
                <w:color w:val="auto"/>
              </w:rPr>
            </w:pPr>
            <w:r>
              <w:rPr>
                <w:rFonts w:ascii="Arial" w:cs="Arial" w:eastAsia="Arial" w:hAnsi="Arial"/>
                <w:sz w:val="18"/>
                <w:szCs w:val="18"/>
                <w:color w:val="auto"/>
                <w:w w:val="95"/>
              </w:rPr>
              <w:t>Form of Executive Restricted Stock Unit Award Agreement under the Third</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4"/>
                <w:szCs w:val="24"/>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w w:val="88"/>
              </w:rPr>
              <w:t>03/07/2008</w:t>
            </w: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7"/>
              </w:rPr>
              <w:t>Amended and Restated 1996 Equity Participation Plan of ViaSat, Inc. (for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grants to executive officers)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5700" w:type="dxa"/>
            <w:vAlign w:val="bottom"/>
          </w:tcPr>
          <w:p>
            <w:pPr>
              <w:spacing w:after="0"/>
              <w:rPr>
                <w:sz w:val="20"/>
                <w:szCs w:val="20"/>
                <w:color w:val="auto"/>
              </w:rPr>
            </w:pPr>
            <w:r>
              <w:rPr>
                <w:rFonts w:ascii="Arial" w:cs="Arial" w:eastAsia="Arial" w:hAnsi="Arial"/>
                <w:sz w:val="18"/>
                <w:szCs w:val="18"/>
                <w:color w:val="auto"/>
                <w:w w:val="90"/>
              </w:rPr>
              <w:t>Second Amended and Restated Revolving Loan Agreement dated January 31,</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w w:val="88"/>
              </w:rPr>
              <w:t>02/01/2005</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3"/>
              </w:rPr>
              <w:t>2005 among ViaSat, Inc., Union Bank of California, N.A. and Comerica Bank</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10.10</w:t>
            </w:r>
          </w:p>
        </w:tc>
        <w:tc>
          <w:tcPr>
            <w:tcW w:w="5700" w:type="dxa"/>
            <w:vAlign w:val="bottom"/>
          </w:tcPr>
          <w:p>
            <w:pPr>
              <w:spacing w:after="0"/>
              <w:rPr>
                <w:sz w:val="20"/>
                <w:szCs w:val="20"/>
                <w:color w:val="auto"/>
              </w:rPr>
            </w:pPr>
            <w:r>
              <w:rPr>
                <w:rFonts w:ascii="Arial" w:cs="Arial" w:eastAsia="Arial" w:hAnsi="Arial"/>
                <w:sz w:val="18"/>
                <w:szCs w:val="18"/>
                <w:color w:val="auto"/>
                <w:w w:val="99"/>
              </w:rPr>
              <w:t>Second Amendment to Second Amended and Restated Revolving Loan</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10-Q</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w w:val="88"/>
              </w:rPr>
              <w:t>02/06/2008</w:t>
            </w: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3"/>
              </w:rPr>
              <w:t>Agreement dated January 25, 2008 between ViaSat, Inc. and Union Bank of</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California, N.A. and Comerica Bank.</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p>
        </w:tc>
        <w:tc>
          <w:tcPr>
            <w:tcW w:w="5700" w:type="dxa"/>
            <w:vAlign w:val="bottom"/>
          </w:tcPr>
          <w:p>
            <w:pPr>
              <w:spacing w:after="0"/>
              <w:rPr>
                <w:sz w:val="20"/>
                <w:szCs w:val="20"/>
                <w:color w:val="auto"/>
              </w:rPr>
            </w:pPr>
            <w:r>
              <w:rPr>
                <w:rFonts w:ascii="Arial" w:cs="Arial" w:eastAsia="Arial" w:hAnsi="Arial"/>
                <w:sz w:val="18"/>
                <w:szCs w:val="18"/>
                <w:color w:val="auto"/>
              </w:rPr>
              <w:t>Third Amendment to Second Amended and Restated Revolving Loan</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8"/>
              </w:rPr>
              <w:t>Agreement dated April 24, 2008 between ViaSat, Inc. and Union Bank of</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California, N.A. and Comerica Bank.</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10.12</w:t>
            </w:r>
          </w:p>
        </w:tc>
        <w:tc>
          <w:tcPr>
            <w:tcW w:w="5700" w:type="dxa"/>
            <w:vAlign w:val="bottom"/>
          </w:tcPr>
          <w:p>
            <w:pPr>
              <w:spacing w:after="0"/>
              <w:rPr>
                <w:sz w:val="20"/>
                <w:szCs w:val="20"/>
                <w:color w:val="auto"/>
              </w:rPr>
            </w:pPr>
            <w:r>
              <w:rPr>
                <w:rFonts w:ascii="Arial" w:cs="Arial" w:eastAsia="Arial" w:hAnsi="Arial"/>
                <w:sz w:val="18"/>
                <w:szCs w:val="18"/>
                <w:color w:val="auto"/>
                <w:w w:val="93"/>
              </w:rPr>
              <w:t>Lease, dated March 24, 1998, by and between W9/LNP Real Estate Limited</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10-K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w w:val="88"/>
              </w:rPr>
              <w:t>06/29/1998</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8"/>
              </w:rPr>
              <w:t>Partnership and ViaSat, Inc. (6155 El Camino Real, Carlsbad, California)</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ind w:left="48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19"/>
        <w:spacing w:after="0" w:line="297" w:lineRule="auto"/>
        <w:rPr>
          <w:sz w:val="20"/>
          <w:szCs w:val="20"/>
          <w:color w:val="auto"/>
        </w:rPr>
      </w:pPr>
      <w:r>
        <w:rPr>
          <w:rFonts w:ascii="Arial" w:cs="Arial" w:eastAsia="Arial" w:hAnsi="Arial"/>
          <w:sz w:val="13"/>
          <w:szCs w:val="13"/>
          <w:b w:val="1"/>
          <w:bCs w:val="1"/>
          <w:color w:val="auto"/>
        </w:rPr>
        <w:t xml:space="preserve">Filed </w:t>
      </w:r>
      <w:r>
        <w:rPr>
          <w:rFonts w:ascii="Arial" w:cs="Arial" w:eastAsia="Arial" w:hAnsi="Arial"/>
          <w:sz w:val="13"/>
          <w:szCs w:val="13"/>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700" w:space="100"/>
            <w:col w:w="600"/>
          </w:cols>
          <w:pgMar w:left="240" w:top="419" w:right="25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19" w:right="259" w:bottom="1440" w:gutter="0" w:footer="0" w:header="0"/>
        </w:sect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5"/>
          </w:tcPr>
          <w:p>
            <w:pPr>
              <w:jc w:val="right"/>
              <w:ind w:right="1119"/>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7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Number</w:t>
            </w:r>
          </w:p>
        </w:tc>
        <w:tc>
          <w:tcPr>
            <w:tcW w:w="596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Exhibit Description</w:t>
            </w:r>
          </w:p>
        </w:tc>
        <w:tc>
          <w:tcPr>
            <w:tcW w:w="5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2"/>
                <w:szCs w:val="12"/>
                <w:color w:val="auto"/>
              </w:rPr>
            </w:pPr>
          </w:p>
        </w:tc>
        <w:tc>
          <w:tcPr>
            <w:tcW w:w="116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2"/>
                <w:szCs w:val="12"/>
                <w:color w:val="auto"/>
              </w:rPr>
            </w:pPr>
          </w:p>
        </w:tc>
        <w:tc>
          <w:tcPr>
            <w:tcW w:w="12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195"/>
        </w:trPr>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Amendment to Lease, dated June 17, 2004, by and between Levine Investments</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10-Q</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w w:val="88"/>
              </w:rPr>
              <w:t>000-21767</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ind w:right="299"/>
              <w:spacing w:after="0" w:line="195" w:lineRule="exact"/>
              <w:rPr>
                <w:sz w:val="20"/>
                <w:szCs w:val="20"/>
                <w:color w:val="auto"/>
              </w:rPr>
            </w:pPr>
            <w:r>
              <w:rPr>
                <w:rFonts w:ascii="Arial" w:cs="Arial" w:eastAsia="Arial" w:hAnsi="Arial"/>
                <w:sz w:val="18"/>
                <w:szCs w:val="18"/>
                <w:color w:val="auto"/>
                <w:w w:val="88"/>
              </w:rPr>
              <w:t>08/10/2004</w:t>
            </w:r>
          </w:p>
        </w:tc>
      </w:tr>
      <w:tr>
        <w:trPr>
          <w:trHeight w:val="230"/>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w w:val="98"/>
              </w:rPr>
              <w:t>Limited Partnership and ViaSat, Inc. (6155 El Camino Real, Carlsbad, CA)</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8"/>
        </w:trPr>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10.14</w:t>
            </w: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rPr>
              <w:t>Award/Contract, effective January 20, 2000, issued by Space and Naval</w:t>
            </w:r>
          </w:p>
        </w:tc>
        <w:tc>
          <w:tcPr>
            <w:tcW w:w="58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gridSpan w:val="2"/>
          </w:tcPr>
          <w:p>
            <w:pPr>
              <w:jc w:val="right"/>
              <w:ind w:right="302"/>
              <w:spacing w:after="0"/>
              <w:rPr>
                <w:sz w:val="20"/>
                <w:szCs w:val="20"/>
                <w:color w:val="auto"/>
              </w:rPr>
            </w:pPr>
            <w:r>
              <w:rPr>
                <w:rFonts w:ascii="Arial" w:cs="Arial" w:eastAsia="Arial" w:hAnsi="Arial"/>
                <w:sz w:val="18"/>
                <w:szCs w:val="18"/>
                <w:color w:val="auto"/>
              </w:rPr>
              <w:t>000-21767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300" w:type="dxa"/>
            <w:vAlign w:val="bottom"/>
            <w:gridSpan w:val="2"/>
          </w:tcPr>
          <w:p>
            <w:pPr>
              <w:jc w:val="right"/>
              <w:ind w:right="299"/>
              <w:spacing w:after="0"/>
              <w:rPr>
                <w:sz w:val="20"/>
                <w:szCs w:val="20"/>
                <w:color w:val="auto"/>
              </w:rPr>
            </w:pPr>
            <w:r>
              <w:rPr>
                <w:rFonts w:ascii="Arial" w:cs="Arial" w:eastAsia="Arial" w:hAnsi="Arial"/>
                <w:sz w:val="18"/>
                <w:szCs w:val="18"/>
                <w:color w:val="auto"/>
                <w:w w:val="99"/>
              </w:rPr>
              <w:t>02/14/2000</w:t>
            </w:r>
          </w:p>
        </w:tc>
      </w:tr>
      <w:tr>
        <w:trPr>
          <w:trHeight w:val="230"/>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rPr>
              <w:t>Warfare Systems to ViaSat, Inc.</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8"/>
        </w:trPr>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10.15</w:t>
            </w: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w w:val="93"/>
              </w:rPr>
              <w:t>Contract for the ViaSat Satellite Program dated as of January 7, 2008 between</w:t>
            </w:r>
          </w:p>
        </w:tc>
        <w:tc>
          <w:tcPr>
            <w:tcW w:w="58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gridSpan w:val="2"/>
          </w:tcPr>
          <w:p>
            <w:pPr>
              <w:jc w:val="right"/>
              <w:ind w:right="302"/>
              <w:spacing w:after="0"/>
              <w:rPr>
                <w:sz w:val="20"/>
                <w:szCs w:val="20"/>
                <w:color w:val="auto"/>
              </w:rPr>
            </w:pPr>
            <w:r>
              <w:rPr>
                <w:rFonts w:ascii="Arial" w:cs="Arial" w:eastAsia="Arial" w:hAnsi="Arial"/>
                <w:sz w:val="18"/>
                <w:szCs w:val="18"/>
                <w:color w:val="auto"/>
              </w:rPr>
              <w:t>000-21767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300" w:type="dxa"/>
            <w:vAlign w:val="bottom"/>
            <w:gridSpan w:val="2"/>
          </w:tcPr>
          <w:p>
            <w:pPr>
              <w:jc w:val="right"/>
              <w:ind w:right="299"/>
              <w:spacing w:after="0"/>
              <w:rPr>
                <w:sz w:val="20"/>
                <w:szCs w:val="20"/>
                <w:color w:val="auto"/>
              </w:rPr>
            </w:pPr>
            <w:r>
              <w:rPr>
                <w:rFonts w:ascii="Arial" w:cs="Arial" w:eastAsia="Arial" w:hAnsi="Arial"/>
                <w:sz w:val="18"/>
                <w:szCs w:val="18"/>
                <w:color w:val="auto"/>
                <w:w w:val="99"/>
              </w:rPr>
              <w:t>02/06/2008</w:t>
            </w:r>
          </w:p>
        </w:tc>
      </w:tr>
      <w:tr>
        <w:trPr>
          <w:trHeight w:val="230"/>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rPr>
              <w:t>ViaSat, Inc. and Space Systems/Loral, Inc.</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8"/>
        </w:trPr>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10.16</w:t>
            </w: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w w:val="96"/>
              </w:rPr>
              <w:t>Beam Sharing Agreement dated January 11, 2008 between ViaSat, Inc. and</w:t>
            </w:r>
          </w:p>
        </w:tc>
        <w:tc>
          <w:tcPr>
            <w:tcW w:w="58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gridSpan w:val="2"/>
          </w:tcPr>
          <w:p>
            <w:pPr>
              <w:jc w:val="right"/>
              <w:ind w:right="302"/>
              <w:spacing w:after="0"/>
              <w:rPr>
                <w:sz w:val="20"/>
                <w:szCs w:val="20"/>
                <w:color w:val="auto"/>
              </w:rPr>
            </w:pPr>
            <w:r>
              <w:rPr>
                <w:rFonts w:ascii="Arial" w:cs="Arial" w:eastAsia="Arial" w:hAnsi="Arial"/>
                <w:sz w:val="18"/>
                <w:szCs w:val="18"/>
                <w:color w:val="auto"/>
              </w:rPr>
              <w:t>000-21767</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300" w:type="dxa"/>
            <w:vAlign w:val="bottom"/>
            <w:gridSpan w:val="2"/>
          </w:tcPr>
          <w:p>
            <w:pPr>
              <w:jc w:val="right"/>
              <w:ind w:right="299"/>
              <w:spacing w:after="0"/>
              <w:rPr>
                <w:sz w:val="20"/>
                <w:szCs w:val="20"/>
                <w:color w:val="auto"/>
              </w:rPr>
            </w:pPr>
            <w:r>
              <w:rPr>
                <w:rFonts w:ascii="Arial" w:cs="Arial" w:eastAsia="Arial" w:hAnsi="Arial"/>
                <w:sz w:val="18"/>
                <w:szCs w:val="18"/>
                <w:color w:val="auto"/>
                <w:w w:val="99"/>
              </w:rPr>
              <w:t>02/06/2008</w:t>
            </w:r>
          </w:p>
        </w:tc>
      </w:tr>
      <w:tr>
        <w:trPr>
          <w:trHeight w:val="230"/>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rPr>
              <w:t>Loral Space &amp; Communications, Inc.</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rPr>
              <w:t>Subsidiaries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8"/>
        </w:trPr>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w w:val="99"/>
              </w:rPr>
              <w:t>Consent of PricewaterhouseCoopers LLP, Independent Registered Public</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rPr>
              <w:t>Accounting Firm</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rPr>
              <w:t>Power of Attorney (see signature page)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8"/>
        </w:trPr>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w w:val="98"/>
              </w:rPr>
              <w:t>Certification Pursuant to Section 302 of the Sarbanes-Oxley Act of 2002 of</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8"/>
        </w:trPr>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w w:val="98"/>
              </w:rPr>
              <w:t>Certification Pursuant to Section 302 of the Sarbanes-Oxley Act of 2002 of</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8"/>
        </w:trPr>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w w:val="98"/>
              </w:rPr>
              <w:t>Certifications Pursuant to 18 U.S.C. Section 1350, as Adopted Pursuant to</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3"/>
          </w:tcPr>
          <w:p>
            <w:pPr>
              <w:ind w:left="100"/>
              <w:spacing w:after="0"/>
              <w:rPr>
                <w:sz w:val="20"/>
                <w:szCs w:val="20"/>
                <w:color w:val="auto"/>
              </w:rPr>
            </w:pPr>
            <w:r>
              <w:rPr>
                <w:rFonts w:ascii="Arial" w:cs="Arial" w:eastAsia="Arial" w:hAnsi="Arial"/>
                <w:sz w:val="18"/>
                <w:szCs w:val="18"/>
                <w:color w:val="auto"/>
              </w:rPr>
              <w:t>Section 906 of the Sarbanes-Oxley Act of 2002</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jc w:val="center"/>
        <w:ind w:left="-19"/>
        <w:spacing w:after="0" w:line="297" w:lineRule="auto"/>
        <w:rPr>
          <w:sz w:val="20"/>
          <w:szCs w:val="20"/>
          <w:color w:val="auto"/>
        </w:rPr>
      </w:pPr>
      <w:r>
        <w:rPr>
          <w:rFonts w:ascii="Arial" w:cs="Arial" w:eastAsia="Arial" w:hAnsi="Arial"/>
          <w:sz w:val="13"/>
          <w:szCs w:val="13"/>
          <w:b w:val="1"/>
          <w:bCs w:val="1"/>
          <w:color w:val="auto"/>
        </w:rPr>
        <w:t xml:space="preserve">Filed </w:t>
      </w:r>
      <w:r>
        <w:rPr>
          <w:rFonts w:ascii="Arial" w:cs="Arial" w:eastAsia="Arial" w:hAnsi="Arial"/>
          <w:sz w:val="13"/>
          <w:szCs w:val="13"/>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439" w:lineRule="exact"/>
        <w:rPr>
          <w:sz w:val="20"/>
          <w:szCs w:val="20"/>
          <w:color w:val="auto"/>
        </w:rPr>
      </w:pPr>
    </w:p>
    <w:p>
      <w:pPr>
        <w:sectPr>
          <w:pgSz w:w="11900" w:h="16838" w:orient="portrait"/>
          <w:cols w:equalWidth="0" w:num="2">
            <w:col w:w="10700" w:space="100"/>
            <w:col w:w="600"/>
          </w:cols>
          <w:pgMar w:left="240" w:top="419" w:right="259" w:bottom="1440" w:gutter="0" w:footer="0" w:header="0"/>
          <w:type w:val="continuous"/>
        </w:sectPr>
      </w:pPr>
    </w:p>
    <w:p>
      <w:pPr>
        <w:spacing w:after="0" w:line="16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Denotes management contract or compensatory plan or arrangement required to be filed pursuant to Item 15(b) of this Annual Report on Form 10-K.</w:t>
      </w:r>
    </w:p>
    <w:p>
      <w:pPr>
        <w:spacing w:after="0" w:line="20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ViaSat, Inc.:</w:t>
      </w:r>
    </w:p>
    <w:p>
      <w:pPr>
        <w:spacing w:after="0" w:line="117"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15(1) present fairly, in all material respects, the financial position of ViaSat, Inc. and its subsidiaries at March 28, 2008 and March 30, 2007, and the results of their operations and their cash flows for each of the three years in the period ended March 28, 2008 in conformity with accounting principles generally accepted in the United States of America. In addition, in our opinion, the financial statement schedule listed in the index appearing under Item 15(2) presents fairly, in all material respects, the information set forth therein when read in conjunction with the related consolidated financial statements. Also in our opinion, the Company maintained, in all material respects, effective internal control over financial reporting as of March 28, 2008,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5" w:lineRule="exact"/>
        <w:rPr>
          <w:sz w:val="20"/>
          <w:szCs w:val="20"/>
          <w:color w:val="auto"/>
        </w:rPr>
      </w:pPr>
    </w:p>
    <w:p>
      <w:pPr>
        <w:ind w:firstLine="260"/>
        <w:spacing w:after="0" w:line="264" w:lineRule="auto"/>
        <w:rPr>
          <w:sz w:val="20"/>
          <w:szCs w:val="20"/>
          <w:color w:val="auto"/>
        </w:rPr>
      </w:pPr>
      <w:r>
        <w:rPr>
          <w:rFonts w:ascii="Arial" w:cs="Arial" w:eastAsia="Arial" w:hAnsi="Arial"/>
          <w:sz w:val="18"/>
          <w:szCs w:val="18"/>
          <w:color w:val="auto"/>
        </w:rPr>
        <w:t>As discussed in Notes 1 and 7 to the consolidated financial statements, the Company changed the manner in which it accounts for uncertain tax positions in 2008. As discussed in Note 1 to the consolidated financial statements, the Company changed the manner in which it accounts for stock-based compensation in 2007.</w:t>
      </w:r>
    </w:p>
    <w:p>
      <w:pPr>
        <w:spacing w:after="0" w:line="73" w:lineRule="exact"/>
        <w:rPr>
          <w:sz w:val="20"/>
          <w:szCs w:val="20"/>
          <w:color w:val="auto"/>
        </w:rPr>
      </w:pPr>
    </w:p>
    <w:p>
      <w:pPr>
        <w:ind w:right="120" w:firstLine="21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23, 2008</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March 28,</w:t>
            </w:r>
          </w:p>
        </w:tc>
        <w:tc>
          <w:tcPr>
            <w:tcW w:w="3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4"/>
          </w:tcPr>
          <w:p>
            <w:pPr>
              <w:jc w:val="center"/>
              <w:ind w:left="412"/>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125,176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155,484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60,326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15,933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375,626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308,154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64,693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66,407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551,094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483,939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25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52,317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73,957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Payables to former shareholders of acquired business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127,375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144,665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9 and 10)</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Minority interest in consolidated subsidiary</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2,289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200"/>
              <w:spacing w:after="0" w:line="201" w:lineRule="exact"/>
              <w:rPr>
                <w:sz w:val="20"/>
                <w:szCs w:val="20"/>
                <w:color w:val="auto"/>
              </w:rPr>
            </w:pPr>
            <w:r>
              <w:rPr>
                <w:rFonts w:ascii="Arial" w:cs="Arial" w:eastAsia="Arial" w:hAnsi="Arial"/>
                <w:sz w:val="18"/>
                <w:szCs w:val="18"/>
                <w:color w:val="auto"/>
              </w:rPr>
              <w:t>Series A, convertible preferred stock, $.0001 par value; 5,000,000 shares authorized; no shares issued and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outstanding at March 28, 2008 and March 30, 2007, respectively</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Common stock, $.0001 par value, 100,000,000 shares authorized; 30,467,367 and 29,733,396 shares outstanding at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March 28, 2008 and March 30, 2007, respectively</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255,856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149,140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115,969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200"/>
              <w:spacing w:after="0" w:line="201" w:lineRule="exact"/>
              <w:rPr>
                <w:sz w:val="20"/>
                <w:szCs w:val="20"/>
                <w:color w:val="auto"/>
              </w:rPr>
            </w:pPr>
            <w:r>
              <w:rPr>
                <w:rFonts w:ascii="Arial" w:cs="Arial" w:eastAsia="Arial" w:hAnsi="Arial"/>
                <w:sz w:val="18"/>
                <w:szCs w:val="18"/>
                <w:color w:val="auto"/>
              </w:rPr>
              <w:t>Common stock held in treasury, 33,238 and no shares outstanding at March 28, 2008 and March 30, 2007,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(1,034)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404,140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348,795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551,094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483,939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3340"/>
              <w:spacing w:after="0"/>
              <w:rPr>
                <w:sz w:val="20"/>
                <w:szCs w:val="20"/>
                <w:color w:val="auto"/>
              </w:rPr>
            </w:pPr>
            <w:r>
              <w:rPr>
                <w:rFonts w:ascii="Arial" w:cs="Arial" w:eastAsia="Arial" w:hAnsi="Arial"/>
                <w:sz w:val="18"/>
                <w:szCs w:val="18"/>
                <w:color w:val="auto"/>
              </w:rPr>
              <w:t>See accompanying notes to the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9220" w:type="dxa"/>
            <w:vAlign w:val="bottom"/>
          </w:tcPr>
          <w:p>
            <w:pPr>
              <w:ind w:left="5560"/>
              <w:spacing w:after="0"/>
              <w:rPr>
                <w:sz w:val="20"/>
                <w:szCs w:val="20"/>
                <w:color w:val="auto"/>
              </w:rPr>
            </w:pPr>
            <w:r>
              <w:rPr>
                <w:rFonts w:ascii="Arial" w:cs="Arial" w:eastAsia="Arial" w:hAnsi="Arial"/>
                <w:sz w:val="18"/>
                <w:szCs w:val="18"/>
                <w:color w:val="auto"/>
              </w:rPr>
              <w:t>F-2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9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6"/>
              </w:rPr>
              <w:t>March 28, 2008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March 30, 2007</w:t>
            </w:r>
          </w:p>
        </w:tc>
        <w:tc>
          <w:tcPr>
            <w:tcW w:w="620" w:type="dxa"/>
            <w:vAlign w:val="bottom"/>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March 31,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7"/>
              </w:rPr>
              <w:t>(In thousands, except per</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0"/>
              </w:rPr>
              <w:t>share data)</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574,650</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516,566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413,520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380,092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76,365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69,896</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32,273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21,631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42,930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35,445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60" w:type="dxa"/>
            <w:vAlign w:val="bottom"/>
            <w:gridSpan w:val="3"/>
          </w:tcPr>
          <w:p>
            <w:pPr>
              <w:jc w:val="right"/>
              <w:ind w:right="208"/>
              <w:spacing w:after="0"/>
              <w:rPr>
                <w:sz w:val="20"/>
                <w:szCs w:val="20"/>
                <w:color w:val="auto"/>
              </w:rPr>
            </w:pPr>
            <w:r>
              <w:rPr>
                <w:rFonts w:ascii="Arial" w:cs="Arial" w:eastAsia="Arial" w:hAnsi="Arial"/>
                <w:sz w:val="18"/>
                <w:szCs w:val="18"/>
                <w:color w:val="auto"/>
              </w:rPr>
              <w:t>(557)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488"/>
              <w:spacing w:after="0"/>
              <w:rPr>
                <w:sz w:val="20"/>
                <w:szCs w:val="20"/>
                <w:color w:val="auto"/>
              </w:rPr>
            </w:pPr>
            <w:r>
              <w:rPr>
                <w:rFonts w:ascii="Arial" w:cs="Arial" w:eastAsia="Arial" w:hAnsi="Arial"/>
                <w:sz w:val="18"/>
                <w:szCs w:val="18"/>
                <w:color w:val="auto"/>
              </w:rPr>
              <w:t>(448)</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37,186</w:t>
            </w: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13,521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6,755</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net earnings of subsidiary, net of tax</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30,166</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Basic net income per share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 per share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Shares used in computing basic net income per share</w:t>
            </w:r>
          </w:p>
        </w:tc>
        <w:tc>
          <w:tcPr>
            <w:tcW w:w="2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30,232</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28,589</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used in computing diluted net income per share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32,224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30,893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8"/>
              </w:rPr>
              <w:t>Years Ended</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28, 2008</w:t>
            </w:r>
          </w:p>
        </w:tc>
        <w:tc>
          <w:tcPr>
            <w:tcW w:w="186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March 30, 2007</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31,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33,513</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30,166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15,972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14,188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12,667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Provision for bad debts</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1,215</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Note receivable loan impairment provision,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488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(10,337)</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Incremental tax benefits from stock-based compensation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(3,324)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Loss on sale and disposal of property and equipment</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compensation expense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adjustments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200"/>
              <w:spacing w:after="0" w:line="201" w:lineRule="exact"/>
              <w:rPr>
                <w:sz w:val="20"/>
                <w:szCs w:val="20"/>
                <w:color w:val="auto"/>
              </w:rPr>
            </w:pPr>
            <w:r>
              <w:rPr>
                <w:rFonts w:ascii="Arial" w:cs="Arial" w:eastAsia="Arial" w:hAnsi="Arial"/>
                <w:sz w:val="18"/>
                <w:szCs w:val="18"/>
                <w:color w:val="auto"/>
                <w:w w:val="98"/>
              </w:rPr>
              <w:t>Increase (decrease) in cash resulting from changes in operating assets and liabilities, net</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of effects of acquisition:</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(13,976)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5,239</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(8,919)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(11,558)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24,862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66,741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52,165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(15,452)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(9,826)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(7,687)</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short-term investments held-to-maturity</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Maturities of short-term investments held-to-maturity</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11,835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patents and licenses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(23,022)</w:t>
            </w:r>
          </w:p>
        </w:tc>
        <w:tc>
          <w:tcPr>
            <w:tcW w:w="6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8,388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14,475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stock in treasury</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Incremental tax benefits from stock-based compensation</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3,324</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secured borrowing</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Proceeds from line of credit</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line of credit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22,519</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66,622</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103,345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36,723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125,176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103,345</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170</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541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 net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11,485</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stock in satisfaction of a payable to former stockholders of an acquired business</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5,631</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Issuance of payable in connection with acquisitions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800</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14,762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acquisitions (Note 12)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29,605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Issuance of stock options in connection with acquisition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INCOME (LOSS)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center"/>
              <w:ind w:left="181"/>
              <w:spacing w:after="0"/>
              <w:rPr>
                <w:sz w:val="20"/>
                <w:szCs w:val="20"/>
                <w:color w:val="auto"/>
              </w:rPr>
            </w:pPr>
            <w:r>
              <w:rPr>
                <w:rFonts w:ascii="Arial" w:cs="Arial" w:eastAsia="Arial" w:hAnsi="Arial"/>
                <w:sz w:val="14"/>
                <w:szCs w:val="14"/>
                <w:b w:val="1"/>
                <w:bCs w:val="1"/>
                <w:color w:val="auto"/>
                <w:w w:val="93"/>
              </w:rPr>
              <w:t>Common Stock</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5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Borders>
              <w:bottom w:val="single" w:sz="8" w:color="auto"/>
            </w:tcBorders>
            <w:gridSpan w:val="3"/>
          </w:tcPr>
          <w:p>
            <w:pPr>
              <w:jc w:val="center"/>
              <w:ind w:left="181"/>
              <w:spacing w:after="0"/>
              <w:rPr>
                <w:sz w:val="20"/>
                <w:szCs w:val="20"/>
                <w:color w:val="auto"/>
              </w:rPr>
            </w:pPr>
            <w:r>
              <w:rPr>
                <w:rFonts w:ascii="Arial" w:cs="Arial" w:eastAsia="Arial" w:hAnsi="Arial"/>
                <w:sz w:val="14"/>
                <w:szCs w:val="14"/>
                <w:b w:val="1"/>
                <w:bCs w:val="1"/>
                <w:color w:val="auto"/>
                <w:w w:val="95"/>
              </w:rPr>
              <w:t>In Treasury</w:t>
            </w:r>
          </w:p>
        </w:tc>
        <w:tc>
          <w:tcPr>
            <w:tcW w:w="2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Paid in</w:t>
            </w:r>
          </w:p>
        </w:tc>
        <w:tc>
          <w:tcPr>
            <w:tcW w:w="1040" w:type="dxa"/>
            <w:vAlign w:val="bottom"/>
            <w:gridSpan w:val="3"/>
          </w:tcPr>
          <w:p>
            <w:pPr>
              <w:jc w:val="right"/>
              <w:ind w:right="328"/>
              <w:spacing w:after="0" w:line="119" w:lineRule="exact"/>
              <w:rPr>
                <w:sz w:val="20"/>
                <w:szCs w:val="20"/>
                <w:color w:val="auto"/>
              </w:rPr>
            </w:pPr>
            <w:r>
              <w:rPr>
                <w:rFonts w:ascii="Arial" w:cs="Arial" w:eastAsia="Arial" w:hAnsi="Arial"/>
                <w:sz w:val="13"/>
                <w:szCs w:val="13"/>
                <w:b w:val="1"/>
                <w:bCs w:val="1"/>
                <w:color w:val="auto"/>
              </w:rPr>
              <w:t>Retained</w:t>
            </w:r>
          </w:p>
        </w:tc>
        <w:tc>
          <w:tcPr>
            <w:tcW w:w="10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0"/>
                <w:szCs w:val="10"/>
                <w:color w:val="auto"/>
              </w:rPr>
            </w:pPr>
          </w:p>
        </w:tc>
        <w:tc>
          <w:tcPr>
            <w:tcW w:w="11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80" w:type="dxa"/>
            <w:vAlign w:val="bottom"/>
            <w:vMerge w:val="restart"/>
          </w:tcPr>
          <w:p>
            <w:pPr>
              <w:spacing w:after="0"/>
              <w:rPr>
                <w:sz w:val="10"/>
                <w:szCs w:val="10"/>
                <w:color w:val="auto"/>
              </w:rPr>
            </w:pPr>
          </w:p>
        </w:tc>
        <w:tc>
          <w:tcPr>
            <w:tcW w:w="118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Shares Issued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Earnings</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94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w w:val="91"/>
              </w:rPr>
              <w:t>thousands, except share data)</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2005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26,861,900</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$ 163,819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62,288</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$ 226,283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Exercise of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options and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420"/>
              <w:spacing w:after="0"/>
              <w:rPr>
                <w:sz w:val="20"/>
                <w:szCs w:val="20"/>
                <w:color w:val="auto"/>
              </w:rPr>
            </w:pPr>
            <w:r>
              <w:rPr>
                <w:rFonts w:ascii="Arial" w:cs="Arial" w:eastAsia="Arial" w:hAnsi="Arial"/>
                <w:sz w:val="18"/>
                <w:szCs w:val="18"/>
                <w:color w:val="auto"/>
              </w:rPr>
              <w:t>warrants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622,380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7,974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7,974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in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connection with</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a</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Amortization of</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deferred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420"/>
              <w:spacing w:after="0"/>
              <w:rPr>
                <w:sz w:val="20"/>
                <w:szCs w:val="20"/>
                <w:color w:val="auto"/>
              </w:rPr>
            </w:pPr>
            <w:r>
              <w:rPr>
                <w:rFonts w:ascii="Arial" w:cs="Arial" w:eastAsia="Arial" w:hAnsi="Arial"/>
                <w:sz w:val="18"/>
                <w:szCs w:val="18"/>
                <w:color w:val="auto"/>
              </w:rPr>
              <w:t>compensation</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Accelerated vesting of</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1,461</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Tax benefit from</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exercise of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420"/>
              <w:spacing w:after="0"/>
              <w:rPr>
                <w:sz w:val="20"/>
                <w:szCs w:val="20"/>
                <w:color w:val="auto"/>
              </w:rPr>
            </w:pPr>
            <w:r>
              <w:rPr>
                <w:rFonts w:ascii="Arial" w:cs="Arial" w:eastAsia="Arial" w:hAnsi="Arial"/>
                <w:sz w:val="18"/>
                <w:szCs w:val="18"/>
                <w:color w:val="auto"/>
              </w:rPr>
              <w:t>options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2,188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under Employee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Purchase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110,269</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1,909</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1,909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23,515</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23,515</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23,515</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Hedging transaction,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of tax</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translation, net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420"/>
              <w:spacing w:after="0"/>
              <w:rPr>
                <w:sz w:val="20"/>
                <w:szCs w:val="20"/>
                <w:color w:val="auto"/>
              </w:rPr>
            </w:pPr>
            <w:r>
              <w:rPr>
                <w:rFonts w:ascii="Arial" w:cs="Arial" w:eastAsia="Arial" w:hAnsi="Arial"/>
                <w:sz w:val="18"/>
                <w:szCs w:val="18"/>
                <w:color w:val="auto"/>
              </w:rPr>
              <w:t>tax</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Comprehensive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23,154</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Balance at March 31,</w:t>
            </w: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20"/>
              <w:spacing w:after="0"/>
              <w:rPr>
                <w:sz w:val="20"/>
                <w:szCs w:val="20"/>
                <w:color w:val="auto"/>
              </w:rPr>
            </w:pPr>
            <w:r>
              <w:rPr>
                <w:rFonts w:ascii="Arial" w:cs="Arial" w:eastAsia="Arial" w:hAnsi="Arial"/>
                <w:sz w:val="18"/>
                <w:szCs w:val="18"/>
                <w:color w:val="auto"/>
              </w:rPr>
              <w:t>2006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27,594,549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177,680</w:t>
            </w:r>
          </w:p>
        </w:tc>
        <w:tc>
          <w:tcPr>
            <w:tcW w:w="120" w:type="dxa"/>
            <w:vAlign w:val="bottom"/>
          </w:tcPr>
          <w:p>
            <w:pPr>
              <w:spacing w:after="0"/>
              <w:rPr>
                <w:sz w:val="20"/>
                <w:szCs w:val="20"/>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85,803</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263,298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Exercise of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894,199</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12,146</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12,146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Stock issued in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connection with</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acquisitions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businesses, net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420"/>
              <w:spacing w:after="0"/>
              <w:rPr>
                <w:sz w:val="20"/>
                <w:szCs w:val="20"/>
                <w:color w:val="auto"/>
              </w:rPr>
            </w:pPr>
            <w:r>
              <w:rPr>
                <w:rFonts w:ascii="Arial" w:cs="Arial" w:eastAsia="Arial" w:hAnsi="Arial"/>
                <w:sz w:val="18"/>
                <w:szCs w:val="18"/>
                <w:color w:val="auto"/>
              </w:rPr>
              <w:t>issuance costs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1,138,304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29,605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29,605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Stock-based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4,987</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4,987</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Tax benefit from</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exercise of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420"/>
              <w:spacing w:after="0"/>
              <w:rPr>
                <w:sz w:val="20"/>
                <w:szCs w:val="20"/>
                <w:color w:val="auto"/>
              </w:rPr>
            </w:pPr>
            <w:r>
              <w:rPr>
                <w:rFonts w:ascii="Arial" w:cs="Arial" w:eastAsia="Arial" w:hAnsi="Arial"/>
                <w:sz w:val="18"/>
                <w:szCs w:val="18"/>
                <w:color w:val="auto"/>
              </w:rPr>
              <w:t>options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5,946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5,946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under Employee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Purchase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106,344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2,329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30,166</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30,166</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30,166</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Hedging transaction,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of tax</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translation, net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420"/>
              <w:spacing w:after="0"/>
              <w:rPr>
                <w:sz w:val="20"/>
                <w:szCs w:val="20"/>
                <w:color w:val="auto"/>
              </w:rPr>
            </w:pPr>
            <w:r>
              <w:rPr>
                <w:rFonts w:ascii="Arial" w:cs="Arial" w:eastAsia="Arial" w:hAnsi="Arial"/>
                <w:sz w:val="18"/>
                <w:szCs w:val="18"/>
                <w:color w:val="auto"/>
              </w:rPr>
              <w:t>tax</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Comprehensive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30,484</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Balance at March 30,</w:t>
            </w: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20"/>
              <w:spacing w:after="0"/>
              <w:rPr>
                <w:sz w:val="20"/>
                <w:szCs w:val="20"/>
                <w:color w:val="auto"/>
              </w:rPr>
            </w:pPr>
            <w:r>
              <w:rPr>
                <w:rFonts w:ascii="Arial" w:cs="Arial" w:eastAsia="Arial" w:hAnsi="Arial"/>
                <w:sz w:val="18"/>
                <w:szCs w:val="18"/>
                <w:color w:val="auto"/>
              </w:rPr>
              <w:t>2007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29,733,396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232,693</w:t>
            </w:r>
          </w:p>
        </w:tc>
        <w:tc>
          <w:tcPr>
            <w:tcW w:w="120" w:type="dxa"/>
            <w:vAlign w:val="bottom"/>
          </w:tcPr>
          <w:p>
            <w:pPr>
              <w:spacing w:after="0"/>
              <w:rPr>
                <w:sz w:val="20"/>
                <w:szCs w:val="20"/>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w w:val="86"/>
              </w:rPr>
              <w:t>115,969</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348,795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Cumulative effect of</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adopting FIN 48</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(342)</w:t>
            </w: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Exercise of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420"/>
              <w:spacing w:after="0"/>
              <w:rPr>
                <w:sz w:val="20"/>
                <w:szCs w:val="20"/>
                <w:color w:val="auto"/>
              </w:rPr>
            </w:pPr>
            <w:r>
              <w:rPr>
                <w:rFonts w:ascii="Arial" w:cs="Arial" w:eastAsia="Arial" w:hAnsi="Arial"/>
                <w:sz w:val="18"/>
                <w:szCs w:val="18"/>
                <w:color w:val="auto"/>
              </w:rPr>
              <w:t>options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386,189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5,701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5,701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issued in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14,424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19" w:right="2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connection with</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businesses, net of</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costs</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Stock issued as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additional</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consideration 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connection with</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acquisition of a</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business, net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40" w:type="dxa"/>
            <w:vAlign w:val="bottom"/>
          </w:tcPr>
          <w:p>
            <w:pPr>
              <w:ind w:left="420"/>
              <w:spacing w:after="0"/>
              <w:rPr>
                <w:sz w:val="20"/>
                <w:szCs w:val="20"/>
                <w:color w:val="auto"/>
              </w:rPr>
            </w:pPr>
            <w:r>
              <w:rPr>
                <w:rFonts w:ascii="Arial" w:cs="Arial" w:eastAsia="Arial" w:hAnsi="Arial"/>
                <w:sz w:val="18"/>
                <w:szCs w:val="18"/>
                <w:color w:val="auto"/>
              </w:rPr>
              <w:t>issuance costs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170,763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5,631</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5,631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Stock-based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7,123</w:t>
            </w: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7,123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Tax benefit from</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exercise of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options and release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of restricted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40" w:type="dxa"/>
            <w:vAlign w:val="bottom"/>
          </w:tcPr>
          <w:p>
            <w:pPr>
              <w:ind w:left="420"/>
              <w:spacing w:after="0"/>
              <w:rPr>
                <w:sz w:val="20"/>
                <w:szCs w:val="20"/>
                <w:color w:val="auto"/>
              </w:rPr>
            </w:pPr>
            <w:r>
              <w:rPr>
                <w:rFonts w:ascii="Arial" w:cs="Arial" w:eastAsia="Arial" w:hAnsi="Arial"/>
                <w:sz w:val="18"/>
                <w:szCs w:val="18"/>
                <w:color w:val="auto"/>
              </w:rPr>
              <w:t>unit (RSU) awards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1,569</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1,569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stock under</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Stock</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Plan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101,668</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2,687</w:t>
            </w: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2,687</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RSU awards vesting</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94,165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 treasury</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pursuant to</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certain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RSU agreements</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(33,238)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(1,034)</w:t>
            </w: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(1,034)</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33,513</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33,513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33,513</w:t>
            </w: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net of</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r>
      <w:tr>
        <w:trPr>
          <w:trHeight w:val="209"/>
        </w:trPr>
        <w:tc>
          <w:tcPr>
            <w:tcW w:w="2040" w:type="dxa"/>
            <w:vAlign w:val="bottom"/>
          </w:tcPr>
          <w:p>
            <w:pPr>
              <w:ind w:left="220"/>
              <w:spacing w:after="0"/>
              <w:rPr>
                <w:sz w:val="20"/>
                <w:szCs w:val="20"/>
                <w:color w:val="auto"/>
              </w:rPr>
            </w:pPr>
            <w:r>
              <w:rPr>
                <w:rFonts w:ascii="Arial" w:cs="Arial" w:eastAsia="Arial" w:hAnsi="Arial"/>
                <w:sz w:val="18"/>
                <w:szCs w:val="18"/>
                <w:color w:val="auto"/>
              </w:rPr>
              <w:t>Comprehensive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40" w:type="dxa"/>
            <w:vAlign w:val="bottom"/>
          </w:tcPr>
          <w:p>
            <w:pPr>
              <w:ind w:left="420"/>
              <w:spacing w:after="0"/>
              <w:rPr>
                <w:sz w:val="20"/>
                <w:szCs w:val="20"/>
                <w:color w:val="auto"/>
              </w:rPr>
            </w:pPr>
            <w:r>
              <w:rPr>
                <w:rFonts w:ascii="Arial" w:cs="Arial" w:eastAsia="Arial" w:hAnsi="Arial"/>
                <w:sz w:val="18"/>
                <w:szCs w:val="18"/>
                <w:color w:val="auto"/>
              </w:rPr>
              <w:t>income</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33,558</w:t>
            </w:r>
          </w:p>
        </w:tc>
      </w:tr>
      <w:tr>
        <w:trPr>
          <w:trHeight w:val="20"/>
        </w:trPr>
        <w:tc>
          <w:tcPr>
            <w:tcW w:w="20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March 28,</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30,500,605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$ 255,856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$ 149,140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(33,238)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(1,034)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$ 404,140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2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ViaSat, Inc. (the “Company”) designs, produces and markets innovative satellite and other wireless communication and networking systems.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TrellisWare Technologies, Inc., a majority owned subsidiary of ViaSat. All significant intercompany amounts have been eliminated.</w:t>
      </w:r>
    </w:p>
    <w:p>
      <w:pPr>
        <w:spacing w:after="0" w:line="62"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The Company has adopted a 52- or 53-week fiscal year beginning with its fiscal year 2004. All references to a fiscal year refer to the fiscal year ending on the Friday closest to March 31 of the specified year. For example, references to fiscal year 2008 refer to the fiscal year ending on March 28, 2008. The Company’s quarters for fiscal year 2008 ended on June 29, 2007, September 28, 2007, December 28, 2007 and March 28, 2008.</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17"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During the Company’s fiscal years 2006, 2007 and 2008, the Company completed the acquisitions of Efficient Channel Coding, Inc. (ECC), Enerdyne Technologies, Inc. (Enerdyne), Intelligent Compression Technologies, Inc. (ICT) and JAST, S.A. (JAST). The acquisitions were accounted for as purchases and accordingly, the operating results of ECC, Enerdyne, ICT and JAST have been included from the dates of acquisition in the Company’s consolidated financial statements. See Note 12 for further discussion.</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117"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warranty accrual, valuation of goodwill and other intangible assets, satellite and other property and equipment, long-lived assets, income taxes and valuation allowance on deferred tax assets.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equivalents consist of highly liquid investments with original maturities of 90 days or less.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Company accounts for marketable securities in accordance with Statement of Financial Accounting Standards (SFAS) No. 115 (SFAS 115), “Accounting for Certain Investments in Debt and Equity Securities.” The Company determines the appropriate classification of all marketable securities as held-to-maturity, available-for-sale or trading at the time of purchase and re-evaluates such classification as of each balance sheet date. Throughout fiscal year 2008, marketable securities consisted primarily of commercial paper with original maturities greater than 90 days at the date of purchase but less than one year. At March 28, 2008 and March 30, 2007, the Company held investments in investment grade debt securities with various maturities. Management determines the appropriate classification of its investments in debt securities at the time of purchase and has designated all of its investments as held-to-maturity. Accordingly, the Company has recorded the related amounts at amortized cost as it had the intent and ability to hold the securities to maturity. The amortized cost of debt securities is adjusted for amortization of premiums and accretion of discounts from the date of purchase to maturity. Such amortization is included in interest income (expense) as an addition to or deduction from the coupon interest earned on the investments. The amortized cost of the Company’s marketable securities approximated the fair value at March 28, 2008 and March 30, 2007. The Company’s investments in these securities as of March 28, 2008 and March 30, 2007 totaled $43,000 and $47,000, respectively.</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Company regularly monitors and evaluates the realizable value of its marketable securities. When assessing marketable securities for other-than-temporary declines in value, the Company considers factors including: how significant the decline in value is as a percentage of the original cost, how long the market value of the investment has been less than its original cost, the performance of the investee’s stock price in relation to the stock price of its competitors within the industry, expected market volatility and the market in general, any news or financial information that has been released specific to the investee and the outlook for the overall industry in which the investee operates. If events and circumstances indicate that a decline in the value of these assets has occurred and is other-than-temporary, the Company records a charge to interest income (expense). No such charges were incurred in fiscal year 2008 and fiscal year 2007.</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and Unbilled Accounts Receivable</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records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w:t>
      </w:r>
    </w:p>
    <w:p>
      <w:pPr>
        <w:spacing w:after="0" w:line="79"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Unbilled receivables consist of costs and fees earned and billable on contract completion or other specified events. Unbilled receivables are generally expected to be collected within one year.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equivalents, short-term investments, and trade accounts receivable which are generally not collateralized. The Company limits its exposure to credit loss by placing its cash equivalents and short-term investments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number of days the accounts are past due and any specific information that the Company becomes aware of such as bankruptcy or liquidity issues of customers.</w:t>
      </w:r>
    </w:p>
    <w:p>
      <w:pPr>
        <w:spacing w:after="0" w:line="85"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Revenues from the U.S. government comprised 30.4%, 30.9% and 33.6% of total revenues for fiscal years 2008, 2007 and 2006, respectively. Billed accounts receivable to the U.S. government as of March 28, 2008 and March 30, 2007 were 24.5% and 22.9%, respectively, of total billed receivables. In addition, one commercial customer comprised 8.9%, 15.9% and 9.8% of total revenues for fiscal years 2008, 2007 and 2006, respectively. Billed accounts receivable for a commercial customer as of March 28, 2008 and March 30, 2007 were 13.1% and 12.7% respectively, of total billed receivables. No other customer accounted for at least 10% of total revenues.</w:t>
      </w:r>
    </w:p>
    <w:p>
      <w:pPr>
        <w:spacing w:after="0" w:line="8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Revenues from the U.S. government and its prime contractors amounted to $319.5 million, $278.4 million and $218.4 million for the fiscal years ended March 28, 2008, March 30, 2007 and March 31, 2006, respectively. Revenues from commercial customers amounted to $255.1 million, $238.2 million and $221.7 million for the fiscal years ended March 28, 2008, March 30, 2007 and March 31, 2006, respectively. The Company’s five largest contracts (by revenues) generated approximately 44.1%, 46.4% and 44.1% of the Company’s total revenues for the fiscal years ended March 28, 2008, March 30, 2007 and March 31, 2006, respectively.</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is valued at the lower of cost or market, cost being determined by the weighted average cost method.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Equipment, computers and software, furniture and fixtures and the Company’s satellite are recorded at cost, net of accumulated depreciation. The Company generally computes depreciation using the straight-line method over the estimated useful lives of the assets ranging between two to fifteen years. Leasehold improvements are capitalized and amortized on the straight-line method over the shorter of the lease term or the life of the improvement. Additions to property and equipment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Satellite construction costs including launch services are generally procured under long-term contracts that provide for payments over the contract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Satellite construction and launch services costs are capitalized as incurred.</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Land</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2006, the Company purchased approximately 10 acres of land adjacent to a leased facility for approximately $3.1 million. During the first quarter of fiscal year 2007, the Company signed a property listing agreement with the intention to sell the property. During the fourth quarter of fiscal year 2008, the Company reclassified the land from held-for-sale status to held-and-used status in accordance with SFAS No. 144 (SFAS 144), “Accounting for the Impairment or Disposal of Long-Lived Assets.” Accordingly, as of March 28, 2008, the Company reported the land in accordance with SFAS 144 as an asset held-and-used at the lower of its (a) carrying amount before the asset was classified as held-for-sale, adjusted for any depreciation (amortization) expense that would have been recognized had the asset been continuously classified as held-and-used, or (b) fair value at the date of the subsequent decision not to sell, which is estimated to be $3.1 million.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SFAS No. 141 (SFAS 141), “Business Combinations,” requires that all business combinations be accounted for using the purchase method. SFAS 141 also specifies criteria for recognizing and reporting intangible assets apart from goodwill; however, acquired workforce must be recognized and reported in goodwill. SFAS No. 142 (SFAS 142), “Goodwill and Other Intangible Assets,” requires that intangible assets with an indefinite life should not be amortized until their life is determined to be finite, and all other intangible assets must be amortized over their useful life. SFAS 142 prohibits the amortization of goodwill and indefinite-lived intangible assets, but instead requires these assets to be tested for impairment in accordance with the provisions of SFAS 142 at least annually and more frequently upon the occurrence of specified events. In addition, all goodwill must be assigned to reporting units for purposes of impairment testing.</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 Orbital Slots and Orbital Licenses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capitalizes the costs of obtaining or acquiring patents, orbital slots and orbital licenses. Amortization of patent, orbital slot and orbital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license costs is provided for by the straight-line method over the shorter of the legal or estimated economic life. Patent, orbital slot and orbital license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are included in other assets, were $3.4 million and $928,000 at March 28, 2008 and March 30, 2007, respectively. Accumulated amortization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$173,000 and $151,000 as of March 28, 2008 and March 30, 2007, respectively. Amortization expense was $22,000 for each of the fiscal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28, 2008, March 30, 2007 and March 31, 2006, respectively. If a patent, orbital slot and orbital license is rejected, abandoned, or otherwise invalidated,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unamortized cost is expensed in that period. During fiscal year 2008, fiscal year 2007 and fiscal year 2006, the Company did not write off any costs due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abandonment or impairment.</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not to exceed five years. The Company capitalized no costs related to software developed for resale for the fiscal years ended March 28, 2008, March 30, 2007 and March 31, 2006. Amortization expense of software development costs was $2.5 million for fiscal year 2008, $3.1 million for fiscal year 2007 and $3.4 million for fiscal year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 (Property and Equipment and Other Intangible Assets)</w:t>
      </w:r>
    </w:p>
    <w:p>
      <w:pPr>
        <w:spacing w:after="0" w:line="117" w:lineRule="exact"/>
        <w:rPr>
          <w:sz w:val="20"/>
          <w:szCs w:val="20"/>
          <w:color w:val="auto"/>
        </w:rPr>
      </w:pPr>
    </w:p>
    <w:p>
      <w:pPr>
        <w:ind w:right="260" w:firstLine="225"/>
        <w:spacing w:after="0" w:line="297" w:lineRule="auto"/>
        <w:rPr>
          <w:sz w:val="20"/>
          <w:szCs w:val="20"/>
          <w:color w:val="auto"/>
        </w:rPr>
      </w:pPr>
      <w:r>
        <w:rPr>
          <w:rFonts w:ascii="Arial" w:cs="Arial" w:eastAsia="Arial" w:hAnsi="Arial"/>
          <w:sz w:val="16"/>
          <w:szCs w:val="16"/>
          <w:color w:val="auto"/>
        </w:rPr>
        <w:t>In accordance with SFAS 144, the Company assesses potential impairments to long-lived assets, including property and equipment and other intangible assets, when there is evidence that events or changes in circumstances indicate that the carrying value may not be recoverable. An impairment loss is recognized when the undiscounted cash flows expected to be generated by an asset (or group of assets) is less than its carrying value. Any required impairment loss would be measured as the amount by which the asset’s carrying value exceeds its fair value, and would be recorded as a reduction in the carrying value of the related asset and charged to results of operations. No such impairments have been identified by the Company as of March 28, 2008.</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Company accounts for its goodwill under SFAS 142. The SFAS 142 goodwill impairment model is a two-step process. First, it requires a comparison of the book value of net assets to the fair value of the reporting units that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value below carrying value represents the amount of goodwill impairment. SFAS 142 requires goodwill to be tested for impairment annually at the same time every year and when an event occurs or circumstances change such that it is reasonably possible that an impairment may exist.</w:t>
      </w:r>
    </w:p>
    <w:p>
      <w:pPr>
        <w:spacing w:after="0" w:line="70"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Company estimates the fair values of the related reporting units using discounted cash flows and other indicators of fair value. The forecast of future cash flows is based on the Company’s best estimate of the future revenues and operating costs, based primarily on existing firm orders, expected future orders, contracts with suppliers, labor agreements and general market conditions. Changes in these forecasts could cause a particular reporting unit to either pass or fail the first step in the SFAS 142 goodwill impairment model, which could significantly influence whether goodwill impairment needs to be recorded.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cash flow forecasts are adjusted using an appropriate discount rate and other indicators of fair value.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On August 2, 2007, the Company completed the acquisition of all of the outstanding capital stock of JAST, a Switzerland based, privately-held developer of microwave circuits and antennas for terrestrial and satellite applications, specializing in small, low-profile antennas for mobile satellite communications. The acquisition was accounted for as a purchase and accordingly, the consolidated financial statements include the operating results of JAST from the date of acquisition in the Company’s commercial networks segment. See Note 12 of the Notes to Consolidated Financial Statements for further discussion.</w:t>
      </w:r>
    </w:p>
    <w:p>
      <w:pPr>
        <w:spacing w:after="0" w:line="46"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On February 16, 2007, the Company completed the acquisition of all of the outstanding capital stock of ICT, a privately-held provider of data compression techniques, advanced transport protocols and application optimization to increase the speeds of either narrowband or broadband terrestrial, wireless or satellite services to corporations, internet service providers (ISPs) and satellite/wireless carriers. The acquisition was accounted for as a purchase and accordingly, the consolidated financial statements include the operating results of ICT from the date of acquisition in the Company’s commercial networks segment. See Note 12 of the Notes to Consolidated Financial Statements for further discussion.</w:t>
      </w:r>
    </w:p>
    <w:p>
      <w:pPr>
        <w:spacing w:after="0" w:line="64"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On June 20, 2006, the Company completed the acquisition of all of the outstanding capital stock of Enerdyne, a privately-held provider of innovative data link equipment and digital video systems for defense and intelligence markets, including unmanned aerial vehicle and other airborne and ground based applications. The acquisition was accounted for as a purchase and accordingly, the consolidated financial statements include the operating results of Enerdyne from the date of acquisition in the Company’s government systems segment. See Note 12 of the Notes to Consolidated Financial Statements for further discussion.</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December 1, 2005, the Company completed the acquisition of all of the outstanding capital stock of ECC, a privately-held designer and supplier of broadband communication integrated circuits and satellite communications systems. The acquisition was accounted for as a purchase and accordingly, the consolidated financial statements include the operating results of ECC from the date of acquisition in the Company’s commercial networks segment. See Note 12 of the Notes to Consolidated Financial Statements for further discussion.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The Company provides limited warranties on certain of its products for periods of up to five years. The Company records warranty reserves when products are delivered based upon an estimate of total warranty costs, with amounts expected to be incurred within twelve months classified as a current liability.</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right="240" w:firstLine="215"/>
        <w:spacing w:after="0" w:line="286" w:lineRule="auto"/>
        <w:rPr>
          <w:sz w:val="20"/>
          <w:szCs w:val="20"/>
          <w:color w:val="auto"/>
        </w:rPr>
      </w:pPr>
      <w:r>
        <w:rPr>
          <w:rFonts w:ascii="Arial" w:cs="Arial" w:eastAsia="Arial" w:hAnsi="Arial"/>
          <w:sz w:val="17"/>
          <w:szCs w:val="17"/>
          <w:color w:val="auto"/>
        </w:rPr>
        <w:t>At March 28, 2008, the carrying amounts of the Company’s financial instruments, including cash equivalents, short-term investments, trade receivables, accounts payable and accrued liabilities, approximated their fair values due to their short-term maturities. The estimated fair value of the Company’s long-term secured borrowing is determined by using available market information for those securities or similar financial instruments.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Payable to Former Shareholders of Acquired Business</w:t>
      </w:r>
    </w:p>
    <w:p>
      <w:pPr>
        <w:spacing w:after="0" w:line="117" w:lineRule="exact"/>
        <w:rPr>
          <w:sz w:val="20"/>
          <w:szCs w:val="20"/>
          <w:color w:val="auto"/>
        </w:rPr>
      </w:pPr>
    </w:p>
    <w:p>
      <w:pPr>
        <w:ind w:right="140" w:firstLine="225"/>
        <w:spacing w:after="0" w:line="288" w:lineRule="auto"/>
        <w:rPr>
          <w:sz w:val="20"/>
          <w:szCs w:val="20"/>
          <w:color w:val="auto"/>
        </w:rPr>
      </w:pPr>
      <w:r>
        <w:rPr>
          <w:rFonts w:ascii="Arial" w:cs="Arial" w:eastAsia="Arial" w:hAnsi="Arial"/>
          <w:sz w:val="16"/>
          <w:szCs w:val="16"/>
          <w:color w:val="auto"/>
        </w:rPr>
        <w:t>On May 23, 2006, in connection with the Company’s ECC acquisition, the Company agreed under the terms of the ECC acquisition agreement to pay the maximum additional consideration amount to the former ECC stockholders in the amount of $9.0 million, which was accrued as of March 30, 2007. The $9.0 million was payable in cash or stock, at the Company’s option, in May 2007. Accordingly, on May 30, 2007, the Company paid approximately</w:t>
      </w:r>
    </w:p>
    <w:p>
      <w:pPr>
        <w:ind w:right="100"/>
        <w:spacing w:after="0" w:line="261" w:lineRule="auto"/>
        <w:rPr>
          <w:sz w:val="20"/>
          <w:szCs w:val="20"/>
          <w:color w:val="auto"/>
        </w:rPr>
      </w:pPr>
      <w:r>
        <w:rPr>
          <w:rFonts w:ascii="Arial" w:cs="Arial" w:eastAsia="Arial" w:hAnsi="Arial"/>
          <w:sz w:val="18"/>
          <w:szCs w:val="18"/>
          <w:color w:val="auto"/>
        </w:rPr>
        <w:t>$9.0 million of additional cash consideration to the former stockholders of ECC. The additional purchase price consideration of $9.0 million was recorded as additional goodwill in the commercial networks segment in the first quarter of fiscal year 2007.</w:t>
      </w:r>
    </w:p>
    <w:p>
      <w:pPr>
        <w:spacing w:after="0" w:line="76" w:lineRule="exact"/>
        <w:rPr>
          <w:sz w:val="20"/>
          <w:szCs w:val="20"/>
          <w:color w:val="auto"/>
        </w:rPr>
      </w:pPr>
    </w:p>
    <w:p>
      <w:pPr>
        <w:ind w:right="140" w:firstLine="215"/>
        <w:spacing w:after="0" w:line="276" w:lineRule="auto"/>
        <w:rPr>
          <w:sz w:val="20"/>
          <w:szCs w:val="20"/>
          <w:color w:val="auto"/>
        </w:rPr>
      </w:pPr>
      <w:r>
        <w:rPr>
          <w:rFonts w:ascii="Arial" w:cs="Arial" w:eastAsia="Arial" w:hAnsi="Arial"/>
          <w:sz w:val="17"/>
          <w:szCs w:val="17"/>
          <w:color w:val="auto"/>
        </w:rPr>
        <w:t>As of March 30, 2007, in connection with the Company’s Enerdyne acquisition and under the terms of the Enerdyne acquisition agreement, the Company owed an additional consideration amount to the former Enerdyne stockholders in the amount of $5.9 million, which was accrued and recorded as additional goodwill in the government systems segment as of March 30, 2007. The $5.9 million was payable in cash and stock in accordance with certain terms of the agreement, in May 2007. Accordingly, on May 3, 2007, the Company paid $5.9 million of additional consideration to the former stockholders of Enerdyne, which was comprised of 170,763 shares of common stock and $260,000 in cash.</w:t>
      </w:r>
    </w:p>
    <w:p>
      <w:pPr>
        <w:spacing w:after="0" w:line="64"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On August 2, 2007, in connection with the terms of the Company’s JAST acquisition, the Company recorded an obligation to pay the remaining portion of the initial purchase price of approximately $800,000 on the first anniversary of the closing date, of which $483,000 will be paid in cash and $317,000 will be paid in stock or cash, at the Company’s election.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a self-insurance plan to retain a portion of the exposure for losses related to employee medical benefits. The Company also has a self-insurance plan for a portion of the exposure for losses related to workers’ compensation costs. The self-insured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 recorded self-insurance liabilities as of March 28, 2008 and March 30, 2007 of $1.1 million and $883,000,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11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Occasionally, the Company enters into secured borrowing arrangements in connection with customer financing in order to provide additional sources of funding. As of March 28, 2008 and March 30, 2007, the Company had one secured borrowing arrangement, under which the Company pledged a note receivable from a customer to serve as collateral for the obligation under the borrowing arrangement. The arrangement includes recourse to certain other assets of the Company in the event of customer default on the note receivable. No significant guarantees beyond the recourse provision exist. Payments under the arrangement consist of semi-annual principal payments of $590,000 plus accrued interest for five years with the first semi-annual payment being interest only. The interest rate resets semi-annually to the current LIBOR rate plus a margin of 2.5%. This secured borrowing arrangement did not qualify as a sale of assets under SFAS No. 140 (SFAS 140), “Accounting for Transfers and Servicing of Financial Assets and Extinguishment of Liabilities,” as the Company has continued involvement related to the recourse provision.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During the third quarter of fiscal year 2008, due to a payment default, the Company wrote-down the note receivable by approximately $5.3 million related to the principal and interest accrued to date. Pursuant to a notes receivable insurance arrangement which provides for the recovery of certain principal and interest amounts on the note, the Company recorded a current asset of approximately $4.5 million. Additionally, as of March 28, 2008, the Company had $5.0 million of the secured borrowing recorded under accrued liabilities with a carrying value approximating the balance of the secured borrowing. As of March 30, 2007, the Company had $590,000 of the secured borrowing recorded under accrued liabilities and $4.1 million recorded under other long-term liabilities with a carrying value approximating the balance of the secured borrowing. Subsequent to the Company’s 2008 fiscal year end, on March 31, 2008, the Company paid off in full the secured borrowing.</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 party intellectual property claims. Historically,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the Company indemnifies, the Company could incur substantial legal costs and damages. A claim would be accrued when a loss is considered probable and the amount can be reasonably estimated. At March 28, 2008 and March 30, 2007, no such amounts were accrued.</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117" w:lineRule="exact"/>
        <w:rPr>
          <w:sz w:val="20"/>
          <w:szCs w:val="20"/>
          <w:color w:val="auto"/>
        </w:rPr>
      </w:pPr>
    </w:p>
    <w:p>
      <w:pPr>
        <w:ind w:right="140" w:firstLine="225"/>
        <w:spacing w:after="0" w:line="272" w:lineRule="auto"/>
        <w:rPr>
          <w:sz w:val="20"/>
          <w:szCs w:val="20"/>
          <w:color w:val="auto"/>
        </w:rPr>
      </w:pPr>
      <w:r>
        <w:rPr>
          <w:rFonts w:ascii="Arial" w:cs="Arial" w:eastAsia="Arial" w:hAnsi="Arial"/>
          <w:sz w:val="17"/>
          <w:szCs w:val="17"/>
          <w:color w:val="auto"/>
        </w:rPr>
        <w:t>Minority interest represents the proportionate share of the equity of the consolidated subsidiary owned by minority shareholders in that subsidiary. This proportionate share of the equity changes when additional shares of common or preferred stock are issued or purchased back by the majority owned subsidiary. Such changes result in a decrease or increase of the Company’s ownership proportion, which results in the Company recording losses or gains on investment. Minority interest is adjusted for earnings (losses) net of tax attributable to the minority interest shareholders of the consolidated subsidiary. All earnings (losses), net of tax, are allocated to the shareholders of the consolidated subsidiary in proportion to their share of the equity ownership of the consolidated subsidiary. Earnings (losses), net of tax, allocated to such minority interest shareholders are recorded as minority interest in net earnings of subsidiary, net of tax, in the accompanying consolidated statements of operations.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During the third quarter of fiscal year 2008, the Company delivered 94,165 shares of common stock based on the vesting terms of certain restricted stock unit agreements. In order for employees to satisfy minimum statutory employee tax withholding requirements related to the delivery of common stock underlying these restricted stock unit agreements, the Company repurchased 33,238 shares of common stock with a total value of $1.0 million as of March 28, 2008. There was no common stock held in treasury as of March 30, 2007.</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enters into foreign currency forward and option contracts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gains (losses) on derivative instruments until the underlying transaction affects our earnings. In fiscal year 2008, the Company recorded a realized gain of $234,000 and in fiscal year 2007 and 2006, the Company recorded realized losses of $136,000 and $347,000, respectively, related to derivatives. The Company had no foreign currency forward contracts outstanding at March 28, 2008 or March 30, 2007.</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In general, the functional currency of a foreign operation is deemed to be the local country’s currency. Consequently, assets and liabilities of operations outside the United States are generally translated into United States dollars, and the effects of foreign currency translation adjustments are included as a component of accumulated other comprehensive income (loss) within stockholders’ equity.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215"/>
        <w:spacing w:after="0" w:line="253" w:lineRule="auto"/>
        <w:rPr>
          <w:sz w:val="20"/>
          <w:szCs w:val="20"/>
          <w:color w:val="auto"/>
        </w:rPr>
      </w:pPr>
      <w:r>
        <w:rPr>
          <w:rFonts w:ascii="Arial" w:cs="Arial" w:eastAsia="Arial" w:hAnsi="Arial"/>
          <w:sz w:val="18"/>
          <w:szCs w:val="18"/>
          <w:color w:val="auto"/>
        </w:rPr>
        <w:t>A substantial portion of the Company’s revenues are derived from long-term contracts requiring development and delivery of products over time and often contain fixed-price purchase options for additional products. Sales related to long-term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either based on the ratio of actual costs incurred to total estimated costs expected to be incurred related to the contract or under the cost-to-cost method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In the fiscal years ended March 28, 2008, March 30, 2007 and March 31, 2006, the Company recorded losses of approximately $7.9 million, $4.5 million and $5.1 million, respectively, related to loss contracts.</w:t>
      </w:r>
    </w:p>
    <w:p>
      <w:pPr>
        <w:spacing w:after="0" w:line="89"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The Company also has contracts and customer purchase orders where revenue is recorded on delivery of products in accordance with SAB 104, “Staff Accounting Bulletin No. 104: Revenue Recognition.” In this situation, contracts and customer purchase orders are used to determine the existence of an arrangement. Shipping documents and customer acceptance, when applicable, are used to verify delivery. The Company assesses whether the sales price is fixed or determinable based on the payment terms associated with the transaction and whether the sales price is subject to refund or adjustment, and assesses collectibility based primarily on the creditworthiness of the customer as determined by credit checks and analysis, as well as the customer’s payment history.</w:t>
      </w:r>
    </w:p>
    <w:p>
      <w:pPr>
        <w:spacing w:after="0" w:line="50"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When a sale involves multiple elements, such as sales of products that include services, the entire fee from the arrangement is allocated to each respective element based on its relative fair value in accordance with Emerging Issues Task Force (EITF) 00-21 (EITF 00-21), “Accounting for Multiple Element Revenue Arrangements” and recognized when the applicable revenue recognition criteria for each element are met. The amount of product and service revenue recognized is impacted by our judgments as to whether an arrangement includes multiple elements and, if so, whether objective and reliable evidence of fair value exists for those elements. Changes to the elements in an arrangement and our ability to establish objective and reliable evidence for those elements could affect the timing of the revenue recognition.</w:t>
      </w:r>
    </w:p>
    <w:p>
      <w:pPr>
        <w:spacing w:after="0" w:line="85"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In accordance with EITF 00-10, “Accounting for Shipping and Handling Fees and Costs,” the Company records shipping and handling costs billed to customers as a component of revenues, and shipping and handling costs incurred by the Company for inbound and outbound freight are recorded as a component of cost of revenues.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Collections in excess of revenues represent cash collected from customers in advance of revenue recognition.</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Contract costs on U.S. government contracts, including indirect costs, are subject to audit and negotiations with U.S. government representatives. These audits have been completed and agreed upon through fiscal year 2002. Contract revenues and accounts receivable are stated at amounts which are expected to be realized upon final settlement.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Payments</w:t>
      </w:r>
    </w:p>
    <w:p>
      <w:pPr>
        <w:spacing w:after="0" w:line="117"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color w:val="auto"/>
        </w:rPr>
        <w:t>On April 1, 2006, the Company adopted SFAS No. 123 (revised 2004) (SFAS 123R), “Share-Based Payment.” Under SFAS 123R, stock-based compensation cost is measured at the grant date, based on the estimated fair value of the award, and is recognized as expense over the employee’s requisite service period. The Company has no awards with market or performance conditions. The Company adopted the provisions of SFAS 123R using a modified prospective application. Accordingly, prior periods have not been revised for comparative purposes. The valuation provisions of SFAS 123R apply to new awards and to awards that are outstanding on the effective date, which are subsequently modified or cancelled. Estimated compensation expense for awards outstanding at the effective date will be recognized over the remaining service period using the compensation cost calculated for pro forma disclosure purposes under FASB Statement No. 123 (SFAS 123), “Accounting for Stock-Based Compensation.”</w:t>
      </w:r>
    </w:p>
    <w:p>
      <w:pPr>
        <w:spacing w:after="0" w:line="70"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On November 10, 2005, the FASB issued FASB Staff Position No. SFAS 123(R)-3, “Transition Election Related to Accounting for Tax Effects of Share-Based Payment Awards.” The Company has elected to adopt the alternative transition method provided in this FASB Staff Position for calculating the tax effects of stock-based compensation pursuant to SFAS 123R. The alternative transition method includes a simplified method to establish the beginning balance of the additional paid-in capital pool (APIC pool) related to the tax effects of employee stock-based compensation, which is available to absorb tax deficiencies recognized subsequent to the adoption of SFAS 123R.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i w:val="1"/>
          <w:iCs w:val="1"/>
          <w:color w:val="auto"/>
        </w:rPr>
        <w:t xml:space="preserve">Stock-Based Compensation Information under SFAS 123R. </w:t>
      </w:r>
      <w:r>
        <w:rPr>
          <w:rFonts w:ascii="Arial" w:cs="Arial" w:eastAsia="Arial" w:hAnsi="Arial"/>
          <w:sz w:val="18"/>
          <w:szCs w:val="18"/>
          <w:color w:val="auto"/>
        </w:rPr>
        <w:t>Upon adoption of SFAS 123R, the Company continued to use the same method of valuation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granted beginning in fiscal year 2007, the Black-Scholes option-pricing model (Black-Scholes model) which was previously used for the Company’s pro forma information required under SFAS 123. The Company’s employee stock options have simple vesting schedules typically ranging from three to five years. Therefore, the Company does not see significant benefits in using a binomial model, a more extensive model, than closed-form models such as the Black-Scholes model, at the present time.</w:t>
      </w:r>
    </w:p>
    <w:p>
      <w:pPr>
        <w:spacing w:after="0" w:line="8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On March 28, 2008, the Company had one principal equity compensation plan and employee stock purchase plan described below. The compensation cost that has been charged against income for the equity plan under SFAS 123R was $6.3 million and $3.1 million and for the stock purchase plan it was $838,000 and $782,000 for the fiscal years ended March 28, 2008 and March 30, 2007, respectively. The total income tax benefit recognized in the income statement for stock-based compensation arrangements under SFAS 123R was $2.6 million and $1.3 million for the fiscal years ended March 28, 2008 and March 30, 2007, respectively. There was no compensation cost capitalized as part of inventory and fixed assets for the fiscal years ended March 28, 2008 and March 30, 2007, as the amounts were not significant.</w:t>
      </w:r>
    </w:p>
    <w:p>
      <w:pPr>
        <w:spacing w:after="0" w:line="85" w:lineRule="exact"/>
        <w:rPr>
          <w:sz w:val="20"/>
          <w:szCs w:val="20"/>
          <w:color w:val="auto"/>
        </w:rPr>
      </w:pPr>
    </w:p>
    <w:p>
      <w:pPr>
        <w:ind w:right="160" w:firstLine="215"/>
        <w:spacing w:after="0" w:line="276" w:lineRule="auto"/>
        <w:rPr>
          <w:sz w:val="20"/>
          <w:szCs w:val="20"/>
          <w:color w:val="auto"/>
        </w:rPr>
      </w:pPr>
      <w:r>
        <w:rPr>
          <w:rFonts w:ascii="Arial" w:cs="Arial" w:eastAsia="Arial" w:hAnsi="Arial"/>
          <w:sz w:val="17"/>
          <w:szCs w:val="17"/>
          <w:color w:val="auto"/>
        </w:rPr>
        <w:t>As of March 28, 2008, there was total unrecognized compensation cost related to non-vested stock-based compensation arrangements granted under the Equity Participation Plan (including stock options and restricted stock units) and the Employee Stock Purchase Plan of $15.7 million and $257,000, respectively. These costs are expected to be recognized over a weighted-average period of 2.7 years, 2.6 years and less than six months for stock options, restricted stock units and the Employee Stock Purchase Plan, respectively. The total fair value of shares vested during the fiscal years ended March 28, 2008 and March 30, 2007, including stock options and restricted stock units, was $6.8 million and $3.5 million, respectively.</w:t>
      </w:r>
    </w:p>
    <w:p>
      <w:pPr>
        <w:spacing w:after="0" w:line="64"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Cash received from option exercise under all stock-based payment arrangements for the fiscal year 2008 was $8.4 million. The actual tax benefit realized for the tax deductions from stock options exercised and restricted stock unit award vesting of the stock-based payment arrangements totaled $1.6 million for the fiscal year 2008.</w:t>
      </w:r>
    </w:p>
    <w:p>
      <w:pPr>
        <w:spacing w:after="0" w:line="73" w:lineRule="exact"/>
        <w:rPr>
          <w:sz w:val="20"/>
          <w:szCs w:val="20"/>
          <w:color w:val="auto"/>
        </w:rPr>
      </w:pPr>
    </w:p>
    <w:p>
      <w:pPr>
        <w:ind w:right="240" w:firstLine="225"/>
        <w:spacing w:after="0" w:line="286" w:lineRule="auto"/>
        <w:rPr>
          <w:sz w:val="20"/>
          <w:szCs w:val="20"/>
          <w:color w:val="auto"/>
        </w:rPr>
      </w:pPr>
      <w:r>
        <w:rPr>
          <w:rFonts w:ascii="Arial" w:cs="Arial" w:eastAsia="Arial" w:hAnsi="Arial"/>
          <w:sz w:val="17"/>
          <w:szCs w:val="17"/>
          <w:i w:val="1"/>
          <w:iCs w:val="1"/>
          <w:color w:val="auto"/>
        </w:rPr>
        <w:t xml:space="preserve">Stock Options and Employee Stock Purchase Plan. </w:t>
      </w:r>
      <w:r>
        <w:rPr>
          <w:rFonts w:ascii="Arial" w:cs="Arial" w:eastAsia="Arial" w:hAnsi="Arial"/>
          <w:sz w:val="17"/>
          <w:szCs w:val="17"/>
          <w:color w:val="auto"/>
        </w:rPr>
        <w:t>The weighted-average estimated fair value of employee stock options granted and employee stock</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plan shares issued during the fiscal year 2008 was $10.00 and $8.66 per share, respectively, and during fiscal year 2007 was $11.99 and $7.03 per share, respectively, using the Black-Scholes model with the following weighted-average assumptions (annualized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52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Employee Stock</w:t>
            </w:r>
          </w:p>
        </w:tc>
        <w:tc>
          <w:tcPr>
            <w:tcW w:w="500" w:type="dxa"/>
            <w:vAlign w:val="bottom"/>
          </w:tcPr>
          <w:p>
            <w:pPr>
              <w:spacing w:after="0"/>
              <w:rPr>
                <w:sz w:val="14"/>
                <w:szCs w:val="14"/>
                <w:color w:val="auto"/>
              </w:rPr>
            </w:pPr>
          </w:p>
        </w:tc>
        <w:tc>
          <w:tcPr>
            <w:tcW w:w="252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Employee Stock</w:t>
            </w:r>
          </w:p>
        </w:tc>
      </w:tr>
      <w:tr>
        <w:trPr>
          <w:trHeight w:val="171"/>
        </w:trPr>
        <w:tc>
          <w:tcPr>
            <w:tcW w:w="58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4"/>
                <w:szCs w:val="14"/>
                <w:b w:val="1"/>
                <w:bCs w:val="1"/>
                <w:color w:val="auto"/>
                <w:w w:val="90"/>
              </w:rPr>
              <w:t>Options</w:t>
            </w:r>
          </w:p>
        </w:tc>
        <w:tc>
          <w:tcPr>
            <w:tcW w:w="50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Purchase Plan</w:t>
            </w:r>
          </w:p>
        </w:tc>
      </w:tr>
      <w:tr>
        <w:trPr>
          <w:trHeight w:val="142"/>
        </w:trPr>
        <w:tc>
          <w:tcPr>
            <w:tcW w:w="5880" w:type="dxa"/>
            <w:vAlign w:val="bottom"/>
          </w:tcPr>
          <w:p>
            <w:pPr>
              <w:spacing w:after="0"/>
              <w:rPr>
                <w:sz w:val="12"/>
                <w:szCs w:val="12"/>
                <w:color w:val="auto"/>
              </w:rPr>
            </w:pPr>
          </w:p>
        </w:tc>
        <w:tc>
          <w:tcPr>
            <w:tcW w:w="10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2008</w:t>
            </w:r>
          </w:p>
        </w:tc>
        <w:tc>
          <w:tcPr>
            <w:tcW w:w="520" w:type="dxa"/>
            <w:vAlign w:val="bottom"/>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color w:val="auto"/>
              </w:rPr>
              <w:t>2007</w:t>
            </w:r>
          </w:p>
        </w:tc>
        <w:tc>
          <w:tcPr>
            <w:tcW w:w="500" w:type="dxa"/>
            <w:vAlign w:val="bottom"/>
          </w:tcPr>
          <w:p>
            <w:pPr>
              <w:spacing w:after="0"/>
              <w:rPr>
                <w:sz w:val="12"/>
                <w:szCs w:val="12"/>
                <w:color w:val="auto"/>
              </w:rPr>
            </w:pPr>
          </w:p>
        </w:tc>
        <w:tc>
          <w:tcPr>
            <w:tcW w:w="100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color w:val="auto"/>
              </w:rPr>
              <w:t>2008</w:t>
            </w:r>
          </w:p>
        </w:tc>
        <w:tc>
          <w:tcPr>
            <w:tcW w:w="520" w:type="dxa"/>
            <w:vAlign w:val="bottom"/>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38.9%</w:t>
            </w:r>
          </w:p>
        </w:tc>
        <w:tc>
          <w:tcPr>
            <w:tcW w:w="15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48.0%</w:t>
            </w:r>
          </w:p>
        </w:tc>
        <w:tc>
          <w:tcPr>
            <w:tcW w:w="15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37.1%</w:t>
            </w:r>
          </w:p>
        </w:tc>
        <w:tc>
          <w:tcPr>
            <w:tcW w:w="15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34.5%</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3.7%</w:t>
            </w:r>
          </w:p>
        </w:tc>
        <w:tc>
          <w:tcPr>
            <w:tcW w:w="1520" w:type="dxa"/>
            <w:vAlign w:val="bottom"/>
            <w:gridSpan w:val="2"/>
          </w:tcPr>
          <w:p>
            <w:pPr>
              <w:jc w:val="right"/>
              <w:ind w:right="119"/>
              <w:spacing w:after="0"/>
              <w:rPr>
                <w:sz w:val="20"/>
                <w:szCs w:val="20"/>
                <w:color w:val="auto"/>
              </w:rPr>
            </w:pPr>
            <w:r>
              <w:rPr>
                <w:rFonts w:ascii="Arial" w:cs="Arial" w:eastAsia="Arial" w:hAnsi="Arial"/>
                <w:sz w:val="18"/>
                <w:szCs w:val="18"/>
                <w:color w:val="auto"/>
              </w:rPr>
              <w:t>4.8%</w:t>
            </w:r>
          </w:p>
        </w:tc>
        <w:tc>
          <w:tcPr>
            <w:tcW w:w="1500" w:type="dxa"/>
            <w:vAlign w:val="bottom"/>
            <w:gridSpan w:val="2"/>
          </w:tcPr>
          <w:p>
            <w:pPr>
              <w:jc w:val="right"/>
              <w:ind w:right="104"/>
              <w:spacing w:after="0"/>
              <w:rPr>
                <w:sz w:val="20"/>
                <w:szCs w:val="20"/>
                <w:color w:val="auto"/>
              </w:rPr>
            </w:pPr>
            <w:r>
              <w:rPr>
                <w:rFonts w:ascii="Arial" w:cs="Arial" w:eastAsia="Arial" w:hAnsi="Arial"/>
                <w:sz w:val="18"/>
                <w:szCs w:val="18"/>
                <w:color w:val="auto"/>
              </w:rPr>
              <w:t>4.1%</w:t>
            </w:r>
          </w:p>
        </w:tc>
        <w:tc>
          <w:tcPr>
            <w:tcW w:w="1520" w:type="dxa"/>
            <w:vAlign w:val="bottom"/>
            <w:gridSpan w:val="2"/>
          </w:tcPr>
          <w:p>
            <w:pPr>
              <w:jc w:val="right"/>
              <w:ind w:right="99"/>
              <w:spacing w:after="0"/>
              <w:rPr>
                <w:sz w:val="20"/>
                <w:szCs w:val="20"/>
                <w:color w:val="auto"/>
              </w:rPr>
            </w:pPr>
            <w:r>
              <w:rPr>
                <w:rFonts w:ascii="Arial" w:cs="Arial" w:eastAsia="Arial" w:hAnsi="Arial"/>
                <w:sz w:val="18"/>
                <w:szCs w:val="18"/>
                <w:color w:val="auto"/>
              </w:rPr>
              <w:t>5.2%</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0.0%</w:t>
            </w:r>
          </w:p>
        </w:tc>
        <w:tc>
          <w:tcPr>
            <w:tcW w:w="15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0.0%</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Weighted average expected life</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4.2 years</w:t>
            </w:r>
          </w:p>
        </w:tc>
        <w:tc>
          <w:tcPr>
            <w:tcW w:w="52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4.5 years</w:t>
            </w:r>
          </w:p>
        </w:tc>
        <w:tc>
          <w:tcPr>
            <w:tcW w:w="500" w:type="dxa"/>
            <w:vAlign w:val="bottom"/>
          </w:tcPr>
          <w:p>
            <w:pPr>
              <w:spacing w:after="0"/>
              <w:rPr>
                <w:sz w:val="20"/>
                <w:szCs w:val="20"/>
                <w:color w:val="auto"/>
              </w:rPr>
            </w:pPr>
          </w:p>
        </w:tc>
        <w:tc>
          <w:tcPr>
            <w:tcW w:w="1000" w:type="dxa"/>
            <w:vAlign w:val="bottom"/>
          </w:tcPr>
          <w:p>
            <w:pPr>
              <w:jc w:val="right"/>
              <w:ind w:right="84"/>
              <w:spacing w:after="0"/>
              <w:rPr>
                <w:sz w:val="20"/>
                <w:szCs w:val="20"/>
                <w:color w:val="auto"/>
              </w:rPr>
            </w:pPr>
            <w:r>
              <w:rPr>
                <w:rFonts w:ascii="Arial" w:cs="Arial" w:eastAsia="Arial" w:hAnsi="Arial"/>
                <w:sz w:val="18"/>
                <w:szCs w:val="18"/>
                <w:color w:val="auto"/>
              </w:rPr>
              <w:t>0.5 years</w:t>
            </w:r>
          </w:p>
        </w:tc>
        <w:tc>
          <w:tcPr>
            <w:tcW w:w="52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0.5 years</w:t>
            </w:r>
          </w:p>
        </w:tc>
      </w:tr>
    </w:tbl>
    <w:p>
      <w:pPr>
        <w:spacing w:after="0" w:line="79" w:lineRule="exact"/>
        <w:rPr>
          <w:sz w:val="20"/>
          <w:szCs w:val="20"/>
          <w:color w:val="auto"/>
        </w:rPr>
      </w:pPr>
    </w:p>
    <w:p>
      <w:pPr>
        <w:ind w:right="120" w:firstLine="222"/>
        <w:spacing w:after="0" w:line="302" w:lineRule="auto"/>
        <w:rPr>
          <w:sz w:val="20"/>
          <w:szCs w:val="20"/>
          <w:color w:val="auto"/>
        </w:rPr>
      </w:pPr>
      <w:r>
        <w:rPr>
          <w:rFonts w:ascii="Arial" w:cs="Arial" w:eastAsia="Arial" w:hAnsi="Arial"/>
          <w:sz w:val="16"/>
          <w:szCs w:val="16"/>
          <w:color w:val="auto"/>
        </w:rPr>
        <w:t>The Company’s expected volatility is a measure of the amount by which our stock price is expected to fluctuate over the expected term of the stock based award. The estimated volatilities for stock options are based on the historical volatility calculated using the daily stock price of our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w:t>
      </w:r>
    </w:p>
    <w:p>
      <w:pPr>
        <w:spacing w:after="0" w:line="46" w:lineRule="exact"/>
        <w:rPr>
          <w:sz w:val="20"/>
          <w:szCs w:val="20"/>
          <w:color w:val="auto"/>
        </w:rPr>
      </w:pPr>
    </w:p>
    <w:p>
      <w:pPr>
        <w:ind w:right="100" w:firstLine="222"/>
        <w:spacing w:after="0" w:line="290" w:lineRule="auto"/>
        <w:rPr>
          <w:sz w:val="20"/>
          <w:szCs w:val="20"/>
          <w:color w:val="auto"/>
        </w:rPr>
      </w:pPr>
      <w:r>
        <w:rPr>
          <w:rFonts w:ascii="Arial" w:cs="Arial" w:eastAsia="Arial" w:hAnsi="Arial"/>
          <w:sz w:val="16"/>
          <w:szCs w:val="16"/>
          <w:color w:val="auto"/>
        </w:rPr>
        <w:t>The expected life of employee stock options represents the calculation using the simplified method consistent with the guidance in the SEC’s Staff Accounting Bulletin (SAB) No. 107 (SAB 107), “Share-Based Payment.” In December 2007, the SEC issued SAB No.110 (SAB 110) to amend the SEC’s views discussed in SAB No. 107 (SAB 107) regarding the use of the simplified method in developing an estimate of the expected life of share options in accordance with SFAS 123R. Due to significant changes in the Company’s option terms in October of 2006, the Company will continue to use the simplified method until it has the historical data necessary to provide a reasonable estimate of expected life in accordance with SAB 107, as amended by SAB 110. For the expected option life, the Company has what SAB 107 defines as “plain-vanilla” stock options, and therefore used a simple average of the vesting period and the contractual term for options as permitted by SAB 107. The expected term or life of employee stock purchase rights issued represents the expected period of time from the date of grant to the estimated date that the stock purchase right under our Employee Stock Purchase Plan would be fully exercised.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employee stock option activity for the fiscal year 2008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5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Weighted Average</w:t>
            </w:r>
          </w:p>
        </w:tc>
        <w:tc>
          <w:tcPr>
            <w:tcW w:w="15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4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Remaining</w:t>
            </w:r>
          </w:p>
        </w:tc>
        <w:tc>
          <w:tcPr>
            <w:tcW w:w="15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40" w:type="dxa"/>
            <w:vAlign w:val="bottom"/>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4"/>
              <w:spacing w:after="0"/>
              <w:rPr>
                <w:sz w:val="20"/>
                <w:szCs w:val="20"/>
                <w:color w:val="auto"/>
              </w:rPr>
            </w:pPr>
            <w:r>
              <w:rPr>
                <w:rFonts w:ascii="Arial" w:cs="Arial" w:eastAsia="Arial" w:hAnsi="Arial"/>
                <w:sz w:val="14"/>
                <w:szCs w:val="14"/>
                <w:b w:val="1"/>
                <w:bCs w:val="1"/>
                <w:color w:val="auto"/>
              </w:rPr>
              <w:t>per Share</w:t>
            </w:r>
          </w:p>
        </w:tc>
        <w:tc>
          <w:tcPr>
            <w:tcW w:w="580" w:type="dxa"/>
            <w:vAlign w:val="bottom"/>
          </w:tcPr>
          <w:p>
            <w:pPr>
              <w:spacing w:after="0"/>
              <w:rPr>
                <w:sz w:val="14"/>
                <w:szCs w:val="1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Contractual Term</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 (in 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30, 2007</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5,679,553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18.78</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401,950</w:t>
            </w:r>
          </w:p>
        </w:tc>
        <w:tc>
          <w:tcPr>
            <w:tcW w:w="12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27.56</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(54,089)</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24.73</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Options exercised</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(386,189)</w:t>
            </w:r>
          </w:p>
        </w:tc>
        <w:tc>
          <w:tcPr>
            <w:tcW w:w="12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14.76</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28, 2008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5,641,225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19.63</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28, 2008</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4,597,687</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17.99</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total intrinsic value of stock options exercised during the fiscal years 2008 and 2007 was $6.8 million and $15.1 million, respectively.</w:t>
      </w:r>
    </w:p>
    <w:p>
      <w:pPr>
        <w:spacing w:after="0" w:line="117"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represent a right to receive shares of common stock at a future date determined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award agreement. There is no exercise price and no monetary payment is required for receipt of restricted stock units or the shares issued in settlement of the award. Instead, consideration is furnished in the form of the participant’s services to the Company. Restricted stock units generally vest over four years. Compensation cost for these awards is based on the fair value on the date of grant and recognized as compensation expense on a straight-line basis over the requisite service period. For the fiscal years 2008 and 2007, the Company recognized $2.4 million and $1.2 million, respectively, in stock-based compensation expense related to these restricted stock unit awards. At March 28, 2008 there was $6.3 million remaining in unrecognized compensation expense related to these awards, which is expected to be recognized over a weighted average period of 2.6 years.</w:t>
      </w:r>
    </w:p>
    <w:p>
      <w:pPr>
        <w:spacing w:after="0" w:line="59"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weighted average grant date fair value of restricted stock units granted during the fiscal year 2008 was $25.66 per unit and $26.15 during fiscal year 2007. A summary of restricted stock unit activity for the fiscal year 2008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2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Restricted Stock</w:t>
            </w:r>
          </w:p>
        </w:tc>
        <w:tc>
          <w:tcPr>
            <w:tcW w:w="28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5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260" w:type="dxa"/>
            <w:vAlign w:val="bottom"/>
            <w:gridSpan w:val="3"/>
            <w:vMerge w:val="continue"/>
          </w:tcPr>
          <w:p>
            <w:pPr>
              <w:spacing w:after="0"/>
              <w:rPr>
                <w:sz w:val="12"/>
                <w:szCs w:val="12"/>
                <w:color w:val="auto"/>
              </w:rPr>
            </w:pPr>
          </w:p>
        </w:tc>
        <w:tc>
          <w:tcPr>
            <w:tcW w:w="1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Contractual Term in</w:t>
            </w:r>
          </w:p>
        </w:tc>
        <w:tc>
          <w:tcPr>
            <w:tcW w:w="15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4"/>
              </w:rPr>
              <w:t>Value (in 000’s)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30, 2007</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389,514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Awarded</w:t>
            </w:r>
          </w:p>
        </w:tc>
        <w:tc>
          <w:tcPr>
            <w:tcW w:w="3260" w:type="dxa"/>
            <w:vAlign w:val="bottom"/>
            <w:gridSpan w:val="3"/>
          </w:tcPr>
          <w:p>
            <w:pPr>
              <w:jc w:val="right"/>
              <w:ind w:right="320"/>
              <w:spacing w:after="0"/>
              <w:rPr>
                <w:sz w:val="20"/>
                <w:szCs w:val="20"/>
                <w:color w:val="auto"/>
              </w:rPr>
            </w:pPr>
            <w:r>
              <w:rPr>
                <w:rFonts w:ascii="Arial" w:cs="Arial" w:eastAsia="Arial" w:hAnsi="Arial"/>
                <w:sz w:val="18"/>
                <w:szCs w:val="18"/>
                <w:color w:val="auto"/>
              </w:rPr>
              <w:t>12,900</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3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(7,340)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Released</w:t>
            </w:r>
          </w:p>
        </w:tc>
        <w:tc>
          <w:tcPr>
            <w:tcW w:w="194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(94,165)</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28, 2008</w:t>
            </w:r>
          </w:p>
        </w:tc>
        <w:tc>
          <w:tcPr>
            <w:tcW w:w="19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300,909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6,509</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Vested and deferred at March 28, 2008</w:t>
            </w:r>
          </w:p>
        </w:tc>
        <w:tc>
          <w:tcPr>
            <w:tcW w:w="1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March 28, 2008, 94,165 restricted stock units vested. The total intrinsic value of vested restricted stock units during fiscal year 2008 was</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$2.9 million. As of March 30, 2007, there were no restricted stock units vested, therefore, the total intrinsic value of vested restricted stock units during the fiscal year 2007 was $0.</w:t>
      </w:r>
    </w:p>
    <w:p>
      <w:pPr>
        <w:spacing w:after="0" w:line="76" w:lineRule="exact"/>
        <w:rPr>
          <w:sz w:val="20"/>
          <w:szCs w:val="20"/>
          <w:color w:val="auto"/>
        </w:rPr>
      </w:pPr>
    </w:p>
    <w:p>
      <w:pPr>
        <w:ind w:right="240" w:firstLine="215"/>
        <w:spacing w:after="0" w:line="279" w:lineRule="auto"/>
        <w:rPr>
          <w:sz w:val="20"/>
          <w:szCs w:val="20"/>
          <w:color w:val="auto"/>
        </w:rPr>
      </w:pPr>
      <w:r>
        <w:rPr>
          <w:rFonts w:ascii="Arial" w:cs="Arial" w:eastAsia="Arial" w:hAnsi="Arial"/>
          <w:sz w:val="17"/>
          <w:szCs w:val="17"/>
          <w:color w:val="auto"/>
        </w:rPr>
        <w:t>As stock-based compensation expense recognized in the consolidated statement of operations for the fiscal years 2008 and 2007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fiscal year 2007, the Company accounted for forfeitures as they occurred.</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estimated stock-based compensation expense recognized in accordance with SFAS 123R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ind w:right="768"/>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March 28, 2008</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30, 2007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(In thousands,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9"/>
              </w:rPr>
              <w:t>except per</w:t>
            </w:r>
          </w:p>
        </w:tc>
        <w:tc>
          <w:tcPr>
            <w:tcW w:w="9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share data)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6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before taxes</w:t>
            </w:r>
          </w:p>
        </w:tc>
        <w:tc>
          <w:tcPr>
            <w:tcW w:w="416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Related income tax benefits</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608"/>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 net of taxes</w:t>
            </w:r>
          </w:p>
        </w:tc>
        <w:tc>
          <w:tcPr>
            <w:tcW w:w="416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160" w:type="dxa"/>
            <w:vAlign w:val="bottom"/>
            <w:gridSpan w:val="2"/>
          </w:tcPr>
          <w:p>
            <w:pPr>
              <w:ind w:left="920"/>
              <w:spacing w:after="0"/>
              <w:rPr>
                <w:sz w:val="20"/>
                <w:szCs w:val="20"/>
                <w:color w:val="auto"/>
              </w:rPr>
            </w:pPr>
            <w:r>
              <w:rPr>
                <w:rFonts w:ascii="Arial" w:cs="Arial" w:eastAsia="Arial" w:hAnsi="Arial"/>
                <w:sz w:val="18"/>
                <w:szCs w:val="18"/>
                <w:color w:val="auto"/>
              </w:rPr>
              <w:t>F-14</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For the year ended March 30, 2007, the impact of stock-based compensation expense on basic and diluted earnings per share was $0.11 and $0.10, respectively.</w:t>
      </w:r>
    </w:p>
    <w:p>
      <w:pPr>
        <w:spacing w:after="0" w:line="62" w:lineRule="exact"/>
        <w:rPr>
          <w:sz w:val="20"/>
          <w:szCs w:val="20"/>
          <w:color w:val="auto"/>
        </w:rPr>
      </w:pPr>
    </w:p>
    <w:p>
      <w:pPr>
        <w:ind w:right="300" w:firstLine="222"/>
        <w:spacing w:after="0" w:line="276" w:lineRule="auto"/>
        <w:rPr>
          <w:sz w:val="20"/>
          <w:szCs w:val="20"/>
          <w:color w:val="auto"/>
        </w:rPr>
      </w:pPr>
      <w:r>
        <w:rPr>
          <w:rFonts w:ascii="Arial" w:cs="Arial" w:eastAsia="Arial" w:hAnsi="Arial"/>
          <w:sz w:val="17"/>
          <w:szCs w:val="17"/>
          <w:color w:val="auto"/>
        </w:rPr>
        <w:t>The Company recorded $728,000 and $2.8 million in stock-based compensation expense during the fiscal years 2008 and 2007, respectively, related to stock-based awards granted during those periods (including stock options and restricted stock units). The remaining stock-based compensation expense primarily related to stock-based awards granted in earlier periods. In addition, for the fiscal years 2008 and 2007, the Company recorded incremental tax benefits from stock options exercised and restricted stock unit award vesting of $977,000 and $3.3 million, respectively, which is classified as part of cash flows from financing activities in the condensed consolidated statements of cash flows.</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 Forma Information under SFAS 123 for Periods Prior to Fiscal Year 2007</w:t>
      </w:r>
    </w:p>
    <w:p>
      <w:pPr>
        <w:spacing w:after="0" w:line="117"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Prior to adopting the provisions of SFAS 123R, the Company recorded estimated compensation expense for employee stock options based upon their intrinsic value on the date of grant pursuant to Accounting Principles Board Opinion 25 (APB 25), “Accounting for Stock Issued to Employees” and provided the required pro forma disclosures of SFAS 123. Because the Company established the exercise price based on the fair market value of the Company’s stock at the date of grant, the stock options had no intrinsic value upon grant, and therefore no estimated expense was recorded prior to adopting SFAS 123R except for accelerated options and stock options issued as part of the acquisition of ECC described below. Each accounting period, the Company reported the potential dilutive impact of stock options in its diluted earnings per common share using the treasury-stock method. Out-of-the-money stock options (i.e. the average stock price during the period was below the strike price of the stock option) were not included in diluted earnings per common share as their effect was anti-dilutive.</w:t>
      </w:r>
    </w:p>
    <w:p>
      <w:pPr>
        <w:spacing w:after="0" w:line="8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fiscal year 2006, the Company recorded total stock compensation expense of $1.6 million of which $95,000 related to stock options issued as part of the acquisition of ECC and $1.5 million related to the acceleration of vesting of certain employee stock options. Stock compensation expense presented in the consolidated statement of operations was recorded as follows: $796,000 to cost of revenue, $686,000 to selling, general and administrative expense and $74,000 to independent research and development.</w:t>
      </w:r>
    </w:p>
    <w:p>
      <w:pPr>
        <w:spacing w:after="0" w:line="79"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On December 1, 2005, as a part of the acquisition of all of the outstanding capital stock of ECC, the Company issued 23,424 unvested incentive stock options under the Efficient Channel Coding, Inc. 2000 Long Term Incentive Plan assumed under the terms of the acquisition agreement. In accordance with SFAS No. 141 (SFAS 141), “Business Combinations,” the Company recorded $291,000 in deferred stock-based compensation, which is being amortized to compensation expense over the remaining service period. The Company amortized $190,000 to compensation expense related to this deferred stock-based compensation through March 28, 2008.</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For purposes of pro forma disclosures under SFAS 123 for the fiscal year ended March 31, 2006, the estimated fair value of the stock-based awards was assumed to be amortized to expense over the vesting periods. The pro forma effects of recognizing estimated compensation expense under the fair value method on net income and earnings per common share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2006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9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96"/>
              </w:rPr>
              <w:t>except per share data)</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Stock based compensation included in net income, net of tax</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Stock based employee compensation expense under fair value based method, net of tax</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(19,377)</w:t>
            </w:r>
          </w:p>
        </w:tc>
        <w:tc>
          <w:tcPr>
            <w:tcW w:w="0" w:type="dxa"/>
            <w:vAlign w:val="bottom"/>
          </w:tcPr>
          <w:p>
            <w:pPr>
              <w:spacing w:after="0"/>
              <w:rPr>
                <w:sz w:val="1"/>
                <w:szCs w:val="1"/>
                <w:color w:val="auto"/>
              </w:rPr>
            </w:pPr>
          </w:p>
        </w:tc>
      </w:tr>
      <w:tr>
        <w:trPr>
          <w:trHeight w:val="223"/>
        </w:trPr>
        <w:tc>
          <w:tcPr>
            <w:tcW w:w="996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Stock based employee compensation expense under the fair value method included in the Company’s fiscal year 2006 pro forma net income included approximately $11.5 million, net of tax, related to the acceleration of the vesting of 1.5 million shares of common stock options approved by the Company’s Board of Directors in the fourth quarter of 2006.</w:t>
      </w:r>
    </w:p>
    <w:p>
      <w:pPr>
        <w:spacing w:after="0" w:line="73"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fair values of options granted during the year ended as reported below were estimated at the date of grant using a Black-Scholes option pricing model with the following weighted average assumptions at March 31,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Employee Stock Options</w:t>
            </w:r>
          </w:p>
        </w:tc>
        <w:tc>
          <w:tcPr>
            <w:tcW w:w="460" w:type="dxa"/>
            <w:vAlign w:val="bottom"/>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Employee Stock Purchase Plan</w:t>
            </w: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70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6.31</w:t>
            </w:r>
          </w:p>
        </w:tc>
        <w:tc>
          <w:tcPr>
            <w:tcW w:w="24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0.50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jc w:val="right"/>
              <w:ind w:right="394"/>
              <w:spacing w:after="0"/>
              <w:rPr>
                <w:sz w:val="20"/>
                <w:szCs w:val="20"/>
                <w:color w:val="auto"/>
              </w:rPr>
            </w:pPr>
            <w:r>
              <w:rPr>
                <w:rFonts w:ascii="Arial" w:cs="Arial" w:eastAsia="Arial" w:hAnsi="Arial"/>
                <w:sz w:val="18"/>
                <w:szCs w:val="18"/>
                <w:color w:val="auto"/>
              </w:rPr>
              <w:t>4.57%</w:t>
            </w:r>
          </w:p>
        </w:tc>
        <w:tc>
          <w:tcPr>
            <w:tcW w:w="2480" w:type="dxa"/>
            <w:vAlign w:val="bottom"/>
            <w:gridSpan w:val="2"/>
          </w:tcPr>
          <w:p>
            <w:pPr>
              <w:jc w:val="right"/>
              <w:ind w:right="588"/>
              <w:spacing w:after="0"/>
              <w:rPr>
                <w:sz w:val="20"/>
                <w:szCs w:val="20"/>
                <w:color w:val="auto"/>
              </w:rPr>
            </w:pPr>
            <w:r>
              <w:rPr>
                <w:rFonts w:ascii="Arial" w:cs="Arial" w:eastAsia="Arial" w:hAnsi="Arial"/>
                <w:sz w:val="18"/>
                <w:szCs w:val="18"/>
                <w:color w:val="auto"/>
              </w:rPr>
              <w:t>4.38%</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55.00%</w:t>
            </w:r>
          </w:p>
        </w:tc>
        <w:tc>
          <w:tcPr>
            <w:tcW w:w="2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33.00%</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tcPr>
          <w:p>
            <w:pPr>
              <w:jc w:val="right"/>
              <w:ind w:right="394"/>
              <w:spacing w:after="0"/>
              <w:rPr>
                <w:sz w:val="20"/>
                <w:szCs w:val="20"/>
                <w:color w:val="auto"/>
              </w:rPr>
            </w:pPr>
            <w:r>
              <w:rPr>
                <w:rFonts w:ascii="Arial" w:cs="Arial" w:eastAsia="Arial" w:hAnsi="Arial"/>
                <w:sz w:val="18"/>
                <w:szCs w:val="18"/>
                <w:color w:val="auto"/>
              </w:rPr>
              <w:t>0.00%</w:t>
            </w:r>
          </w:p>
        </w:tc>
        <w:tc>
          <w:tcPr>
            <w:tcW w:w="2480" w:type="dxa"/>
            <w:vAlign w:val="bottom"/>
            <w:gridSpan w:val="2"/>
          </w:tcPr>
          <w:p>
            <w:pPr>
              <w:jc w:val="right"/>
              <w:ind w:right="588"/>
              <w:spacing w:after="0"/>
              <w:rPr>
                <w:sz w:val="20"/>
                <w:szCs w:val="20"/>
                <w:color w:val="auto"/>
              </w:rPr>
            </w:pPr>
            <w:r>
              <w:rPr>
                <w:rFonts w:ascii="Arial" w:cs="Arial" w:eastAsia="Arial" w:hAnsi="Arial"/>
                <w:sz w:val="18"/>
                <w:szCs w:val="18"/>
                <w:color w:val="auto"/>
              </w:rPr>
              <w:t>0.00%</w:t>
            </w:r>
          </w:p>
        </w:tc>
      </w:tr>
    </w:tbl>
    <w:p>
      <w:pPr>
        <w:spacing w:after="0" w:line="79"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weighted average estimated fair value of employee stock options granted during 2006 was $13.54 per share. The weighted average estimated fair value of shares granted under the Employee Stock Purchase Plan during 2006 was $5.95 per share. In connection with the acquisition of ECC, the Company exchanged options with a weighted average fair value of $22.43.</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Review of Stock Option Grant Procedures</w:t>
      </w:r>
    </w:p>
    <w:p>
      <w:pPr>
        <w:spacing w:after="0" w:line="117" w:lineRule="exact"/>
        <w:rPr>
          <w:sz w:val="20"/>
          <w:szCs w:val="20"/>
          <w:color w:val="auto"/>
        </w:rPr>
      </w:pPr>
    </w:p>
    <w:p>
      <w:pPr>
        <w:ind w:right="380" w:firstLine="225"/>
        <w:spacing w:after="0" w:line="276" w:lineRule="auto"/>
        <w:rPr>
          <w:sz w:val="20"/>
          <w:szCs w:val="20"/>
          <w:color w:val="auto"/>
        </w:rPr>
      </w:pPr>
      <w:r>
        <w:rPr>
          <w:rFonts w:ascii="Arial" w:cs="Arial" w:eastAsia="Arial" w:hAnsi="Arial"/>
          <w:sz w:val="17"/>
          <w:szCs w:val="17"/>
          <w:color w:val="auto"/>
        </w:rPr>
        <w:t>In August 2006 the Company commenced and completed a voluntary internal investigation, assisted by its outside legal counsel, of its historical stock option granting practices, stock option documentation and related accounting during the period from its initial public offering in December 1996 through June 30, 2006. At the conclusion of its investigation, its outside legal counsel and the Company determined that there was no evidence of a pattern of intentionally misdating stock option grants to achieve an accounting result, or that any officer, director, or senior executive at the Company willfully or knowingly engaged in stock options misdating, or had knowledge of others doing so.</w:t>
      </w:r>
    </w:p>
    <w:p>
      <w:pPr>
        <w:spacing w:after="0" w:line="64"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During the investigation the Company identified certain accounting errors associated with stock options granted primarily to certain non-executive new hire employees during the ten-year period from December 1996 to June 30, 2006. Based on the results of the investigation, the Company identified that certain stock options to non-executive new hires had incorrectly been accounted for using an accounting measurement date prior to the date that the new hires commenced employment. The Company concluded, with the concurrence of the Audit Committee, that the financial impact of these errors was not material to its consolidated financial statements for any annual period in which the errors related. In accordance with Accounting Principles Board Opinion No. 28, “Interim Financial Reporting,” paragraph 29, the Company recorded a cumulative adjustment to compensation expense in the first quarter of fiscal year 2007 of $703,000, net of tax, because the effect of the correcting adjustment was not material to the Company’s fiscal year 2007 net income. This non-cash compensation expense adjustment will have no impact on future periods. There is no impact on revenue or net cash provided by operating activities as a result of recording the compensation expense adjustment.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Acceleration of Vesting of Certain Unvested Employee Stock Options</w:t>
      </w:r>
    </w:p>
    <w:p>
      <w:pPr>
        <w:spacing w:after="0" w:line="11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On March 30, 2006, the Board of Directors of the Company accelerated the vesting of certain unvested employee stock options previously awarded to the Company’s employees under the Company’s 1996 Equity Participation Plan. Stock options held by the Company’s non-employee directors were not accelerated. Options to purchase approximately 1.5 million shares of common stock (representing approximately 26% of the Company’s total current outstanding options) were subject to this acceleration. All of the accelerated options were “in-the-money” and had exercise prices ranging from $4.70 to $26.94. All other terms and conditions applicable to such options, including the exercise prices, remain unchanged. As a result, the Company recorded $1.5 million in compensation expense in accordance with generally accepted accounting principles.</w:t>
      </w:r>
    </w:p>
    <w:p>
      <w:pPr>
        <w:spacing w:after="0" w:line="70"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accelerated stock options are subject to lock-up restrictions preventing the sale of any shares acquired through the exercise of an accelerated stock option prior to the date on which the exercise would have been permitted under the stock option’s original vesting terms.</w:t>
      </w:r>
    </w:p>
    <w:p>
      <w:pPr>
        <w:spacing w:after="0" w:line="62"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decision to accelerate vesting of these options was made primarily to eliminate the recognition of the related compensation expense in the Company’s future consolidated financial statements with respect to these unvested stock options upon adopting SFAS 123R. The Company has recognized a charge for estimated compensation expense of approximately $1.5 million in the fiscal fourth quarter ended March 31, 2006 after considering expected employee turnover rates to reflect, absent the acceleration, the “in-the-money” value of accelerated stock options the Company estimates would have been forfeited (unvested) pursuant to their original terms. The Company will adjust this estimated compensation expense in future periods to record the impact of actual employee turnover on the compensation expense recognized at the time of acceleration.</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117"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Independent research and development, which is not directly funded by a third party, is expensed as incurred. Independent research and development expenses consist primarily of salaries and other personnel-related expenses, supplies, prototype materials, and other expenses related to research and development programs.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Rent Expense, Deferred Rent Obligations and Deferred Lease Incentives</w:t>
      </w:r>
    </w:p>
    <w:p>
      <w:pPr>
        <w:spacing w:after="0" w:line="117"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Company leases all of its facilities under operating leases. Some of these lease agreements contain tenant improvement allowances funded by landlord incentives, rent holidays, and rent escalation clauses. Accounting principles generally accepted in the United States require rent expense to be recognized on a straight-line basis over the lease term. The difference between the rent due under the stated periods of the lease compared to that of the straight-line basis is recorded as deferred rent within accrued and other long-term liabilities in the consolidated balance sheet.</w:t>
      </w:r>
    </w:p>
    <w:p>
      <w:pPr>
        <w:spacing w:after="0" w:line="63"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For purposes of recognizing landlord incentives and minimum rental expenses on a straight-line basis over the terms of the leases, the Company uses the date that it obtains the legal right to use and control the leased space to begin amortization, which is generally when the Company enters the space and begins to make improvements in preparation of occupying new space. For tenant improvement allowances funded by landlord incentives and rent holidays, the Company records a deferred lease incentive liability in accrued and other long-term liabilities on the consolidated balance sheet and amortizes the deferred liability as a reduction to rent expense on the consolidated statement of operations over the term of the lease.</w:t>
      </w:r>
    </w:p>
    <w:p>
      <w:pPr>
        <w:spacing w:after="0" w:line="64" w:lineRule="exact"/>
        <w:rPr>
          <w:sz w:val="20"/>
          <w:szCs w:val="20"/>
          <w:color w:val="auto"/>
        </w:rPr>
      </w:pPr>
    </w:p>
    <w:p>
      <w:pPr>
        <w:ind w:right="480" w:firstLine="225"/>
        <w:spacing w:after="0" w:line="264" w:lineRule="auto"/>
        <w:rPr>
          <w:sz w:val="20"/>
          <w:szCs w:val="20"/>
          <w:color w:val="auto"/>
        </w:rPr>
      </w:pPr>
      <w:r>
        <w:rPr>
          <w:rFonts w:ascii="Arial" w:cs="Arial" w:eastAsia="Arial" w:hAnsi="Arial"/>
          <w:sz w:val="18"/>
          <w:szCs w:val="18"/>
          <w:color w:val="auto"/>
        </w:rPr>
        <w:t>Certain lease agreements contain rent escalation clauses which provide for scheduled rent increases during the lease term or for rental payments commencing at a date other than the date of initial occupancy. Such “stepped” rent expense is recorded in the consolidated statement of operations on a straight-line basis over the lease term.</w:t>
      </w:r>
    </w:p>
    <w:p>
      <w:pPr>
        <w:spacing w:after="0" w:line="73" w:lineRule="exact"/>
        <w:rPr>
          <w:sz w:val="20"/>
          <w:szCs w:val="20"/>
          <w:color w:val="auto"/>
        </w:rPr>
      </w:pPr>
    </w:p>
    <w:p>
      <w:pPr>
        <w:jc w:val="both"/>
        <w:ind w:right="480" w:firstLine="215"/>
        <w:spacing w:after="0" w:line="342" w:lineRule="auto"/>
        <w:rPr>
          <w:sz w:val="20"/>
          <w:szCs w:val="20"/>
          <w:color w:val="auto"/>
        </w:rPr>
      </w:pPr>
      <w:r>
        <w:rPr>
          <w:rFonts w:ascii="Arial" w:cs="Arial" w:eastAsia="Arial" w:hAnsi="Arial"/>
          <w:sz w:val="16"/>
          <w:szCs w:val="16"/>
          <w:color w:val="auto"/>
        </w:rPr>
        <w:t>At March 28, 2008 and March 30, 2007, deferred rent included in accrued liabilities in our consolidated balance sheets was $317,000 and $378,000, respectively, and deferred rent included in other long-term liabilities in our consolidated balance sheets was $4.4 million and $3.5 million, respectively.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On March 31, 2007, the Company adopted the provisions of Financial Accounting Standards Board (FASB) Interpretation No. 48 (FIN 48), “Accounting for Uncertainty in Income Taxes-an interpretation of FASB Statement No. 109.” FIN 48 clarifies the accounting for uncertainty in income taxes recognized in an enterprise’s financial statements in accordance with SFAS No. 109, “Accounting for Income Taxes” (SFAS 109). FIN 48 prescribes a recognition threshold and measurement attribute for the financial statement recognition and measurement of a tax position taken or expected to be taken in a tax return, and provides guidance on derecognition, classification, interest and penalties, accounting in interim periods, disclosure, and transition. For those benefits to be recognized, a tax position must be more-likely-than-not to be sustained upon examination by taxing authorities. The amount recognized is measured as the largest amount of benefit that is greater than fifty percent likely of being realized upon ultimate settlement. Our policy is to recognize interest expense and penalties related to income tax matters as a component of income tax expense.</w:t>
      </w:r>
    </w:p>
    <w:p>
      <w:pPr>
        <w:spacing w:after="0" w:line="7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and restricted stock units awarded under the Company’s equity compensation plan which are included in the earnings per share calculations using the treasury stock method, common shares expected to be issued under the Company’s employee stock purchase plan, and shares contingently issuable based upon achievement of certain earnings performance at March 28, 2008 and March 30, 2007 and other conditions denoted in the Company’s agreements with the predecessor shareholders of JAST acquired on August 2, 2007 and Enerdyne acquired on June 20, 2006.</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Company’s government systems, commercial networks and satellite services segments are primarily distinguished by the type of customer and the related contractual requirements. The more regulated government environment is subject to unique contractual requirements and possesses economic characteristics which differ from the commercial networks and satellite services segments. During the third and fourth quarter of fiscal year 2008, the Company made management and organization structure changes due to a shift in product marketing and development strategies and consequently realigned the way management organizes and evaluates financial information internally for making operating decisions and assessing performance. Our Satellite Services segment is primarily comprised of our ViaSat-1 satellite, mobile broadband and enterprise VSAT services businesses. Our Commercial Networks segment comprises our former Satellite Networks and Antenna Systems segments, except for the Satellite Services segment. The Company’s reporting segments, Government Systems, Commercial Networks and Satellite Services, are determined consistent with the way management currently organizes and evaluates financial information internally for making operating decisions and assessing performance. Prior periods have been recast to this new organizational and reporting structure.</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In September 2006, the FASB issued Statement No. 157 (SFAS 157), “Fair Value Measurements.” SFAS 157 defines fair value, establishes a framework and gives guidance regarding the methods used for measuring fair value, and expands disclosures about fair value measurements. In February 2008, the FASB issued FASB Staff Position (“FSP”) FAS 157-1, “Application of FASB Statement No. 157 to FASB Statement No. 13 and Other Accounting Pronouncements That Address Fair Value Measurement for Purpose of Lease Classification of Measurement under Statement 13,” which amends SFAS 157 to exclude accounting pronouncements that address fair value measurements for purpose of lease classification or measurement under SFAS No. 13, “Accounting for Leases.” In February 2008, the FASB also issued FSP FAS 157-2, “Effective Date of FASB Statement No. 157”, which delays the effective date of SFAS 157 until the first quarter of fiscal 2010 for all non-financial assets and non-financial liabilities, except for items that are recognized or disclosed at fair value in the financial statements on a recurring basis (at least annually). SFAS 157 doe not require any new fair value measurements but rather eliminates inconsistencies in guidance found in various prior accounting pronouncements. SFAS 157 is effective for financial statements issued for fiscal years beginning after November 15, 2007 (fiscal year 2009 for the Company), and interim periods within those fiscal years. The Company is currently assessing the impact SFAS 157 will have on its results of operations and financial position.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 February 2007, the FASB issued Statement No. 159 (SFAS 159), “The Fair Value Option for Financial Assets and Financial Liabilities,” which permits entities to choose to measure many financial instruments and certain other items at fair value that are not currently required to be measured at fair value. SFAS 159 will be effective for the Company in fiscal year 2009. The Company is currently evaluating the impact of adopting SFAS 159 on its financial position, cash flows, and results of operations.</w:t>
      </w:r>
    </w:p>
    <w:p>
      <w:pPr>
        <w:spacing w:after="0" w:line="79"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In June 2007, the FASB ratified EITF Issue No. 07-3 (EITF 07-3), “Accounting for Nonrefundable Advance Payments for Goods or Services to Be Used in Future Research and Development Activities.” This issue provides that nonrefundable advance payments for goods or services that will be used or rendered for future research and development activities should be deferred and capitalized. Such amounts should be recognized as an expense as the related goods are delivered or the related services are performed. EITF 07-3 is effective for the Company’s fiscal year 2009. The adoption of EITF Issue No. 07-3 is not expected to have a material impact on the Company’s consolidated financial position, results of operations and cash flows.</w:t>
      </w:r>
    </w:p>
    <w:p>
      <w:pPr>
        <w:spacing w:after="0" w:line="50"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In December 2007, the FASB issued SFAS No. 141 (revised 2007), “Business Combinations” (SFAS 141R).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applies prospectively to business combinations for which the acquisition date is on or after January 1, 2009, except that resolution of certain tax contingencies and adjustments to valuation allowances related to business combinations, which previously were adjusted to goodwill, will be adjusted to income tax expense for all such adjustments after January 1, 2009, regardless of the date of the original business combination. SFAS 141R will be effective for the Company in fiscal year 2010. The Company is currently evaluating the impact of SFAS 141R.</w:t>
      </w:r>
    </w:p>
    <w:p>
      <w:pPr>
        <w:spacing w:after="0" w:line="6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December 2007, the FASB issued SFAS No. 160 (SFAS 160), “Noncontrolling Interests in Consolidated Financial Statements — an amendment of ARB No. 51.” SFAS 160, which changes the accounting and reporting for business acquisitions and non-controlling interests in subsidiaries, was issued to improve the relevance, comparability, and transparency of financial information provided to investors. Moreover, SFAS 160 eliminates the diversity that currently exists in accounting for transactions between an entity and non-controlling interests by requiring they be treated as equity transactions. SFAS 160 will be effective for the Company in fiscal year 2010. The Company is currently evaluating the impact that SFAS 160 will have on its financial statements and disclosures.</w:t>
      </w:r>
    </w:p>
    <w:p>
      <w:pPr>
        <w:spacing w:after="0" w:line="85"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January 2008, the SEC released SAB No. 110 (SAB 110) which amends SAB No. 107 (SAB 107) which provided a simplified approach for estimating the expected term of a “plain vanilla” option, which is required for application of the Black-Scholes-Model (and other models) for valuing share options. At the time, the Staff acknowledged that, for companies choosing not to rely on their own historical option exercise data (i.e., because such data did not provide a reasonable basis for estimating the term), information about exercise patterns with respect to plain vanilla options granted by other companies might not be available in the near term; accordingly, in SAB 107, the Staff permitted use of a simplified approach for estimating the term of plain vanilla options granted on or before December 31, 2007. The information concerning exercise behavior that the Staff contemplated would be available by such date has not materialized for many companies. Thus, in SAB 110, the Staff continues to allow use of the simplified rule for estimating the expected term of plain vanilla options until such time as the relevant data do become widely available. The simplified method is based on the vesting period and contractual term for each vesting tranche of awards. The mid-point between the vesting date and the expiration date is used as the expected term under this method. SAB 110 is effective January 1, 2008. The Company currently uses the “simplified” method to estimate the expected term for stock option grants as it does not have enough historical experience to provide a reasonable estimate due to significant changes in the Company’s stock option terms in October 2006. The Company will continue to use the “simplified” method until it has enough historical experience to provide a reasonable estimate of expected term in accordance with SAB 110.</w:t>
      </w:r>
    </w:p>
    <w:p>
      <w:pPr>
        <w:spacing w:after="0" w:line="80"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March 2008, the FASB issued SFAS No. 161 (SFAS 161), “Disclosures about Derivative Instruments and Hedging Activities, an Amendment of FASB Statement No. 133,” which requires additional disclosures about the objectives of the derivative instruments and hedging activities, the method of accounting for such instruments under SFAS No. 133 and its related interpretations, and a tabular disclosure of the effects of such instruments and related hedged items on our financial position, financial performance, and cash flows. SFAS 161 will be effective for the Company in fiscal year 2010. The Company is currently assessing the potential impact that adoption of SFAS 161 may have on its financial statements.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March 28, 2008</w:t>
            </w:r>
          </w:p>
        </w:tc>
        <w:tc>
          <w:tcPr>
            <w:tcW w:w="62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4"/>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Billed</w:t>
            </w:r>
          </w:p>
        </w:tc>
        <w:tc>
          <w:tcPr>
            <w:tcW w:w="378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92,516</w:t>
            </w:r>
          </w:p>
        </w:tc>
        <w:tc>
          <w:tcPr>
            <w:tcW w:w="6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89,645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63,278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51,358</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155,484</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139,789</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3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Raw materials</w:t>
            </w:r>
          </w:p>
        </w:tc>
        <w:tc>
          <w:tcPr>
            <w:tcW w:w="37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21,091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19,840</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Work in process</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8,883</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30,352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18,231</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378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9,537</w:t>
            </w:r>
          </w:p>
        </w:tc>
        <w:tc>
          <w:tcPr>
            <w:tcW w:w="6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Machinery and equipment (estimated useful life 5 years)</w:t>
            </w:r>
          </w:p>
        </w:tc>
        <w:tc>
          <w:tcPr>
            <w:tcW w:w="378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51,067</w:t>
            </w:r>
          </w:p>
        </w:tc>
        <w:tc>
          <w:tcPr>
            <w:tcW w:w="6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48,439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Computer equipment and software (estimated useful life 3 years)</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43,700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36,936</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Furniture and fixtures (estimated useful life 7 years)</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9,192</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improvements (estimated useful life 1-11 years)</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12,983</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Land</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3,124</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 under construction</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Construction in progress</w:t>
            </w:r>
          </w:p>
        </w:tc>
        <w:tc>
          <w:tcPr>
            <w:tcW w:w="3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132,569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111,474</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(67,876)</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(60,011)</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64,693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51,463</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3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37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44,392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Contracts and relationships</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18,898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18,766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Non-compete agreement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Other intangibles</w:t>
            </w:r>
          </w:p>
        </w:tc>
        <w:tc>
          <w:tcPr>
            <w:tcW w:w="3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81,689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80,251</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Less accumulated amortization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(56,212)</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(46,650)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25,477</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33,601</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Other assets:</w:t>
            </w:r>
          </w:p>
        </w:tc>
        <w:tc>
          <w:tcPr>
            <w:tcW w:w="3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software costs, net</w:t>
            </w:r>
          </w:p>
        </w:tc>
        <w:tc>
          <w:tcPr>
            <w:tcW w:w="37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Patents, orbital slots and orbital licenses, net</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3,188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18,891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Accrued liabilities:</w:t>
            </w:r>
          </w:p>
        </w:tc>
        <w:tc>
          <w:tcPr>
            <w:tcW w:w="3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warranty reserve</w:t>
            </w:r>
          </w:p>
        </w:tc>
        <w:tc>
          <w:tcPr>
            <w:tcW w:w="37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Secured borrowing and accrued interest</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5,015</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vacation</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9,374</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7,958</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Accrued wages and performance compensation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4,867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10,678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in excess of revenues</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37,252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28,030</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73,957</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62,470</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3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warranty</w:t>
            </w:r>
          </w:p>
        </w:tc>
        <w:tc>
          <w:tcPr>
            <w:tcW w:w="37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Unrecognized tax position liabilities</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5,974</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long-term portion</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4,387</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Secured borrowing, long-term portion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20" w:type="dxa"/>
            <w:vAlign w:val="bottom"/>
          </w:tcPr>
          <w:p>
            <w:pPr>
              <w:spacing w:after="0"/>
              <w:rPr>
                <w:sz w:val="24"/>
                <w:szCs w:val="24"/>
                <w:color w:val="auto"/>
              </w:rPr>
            </w:pPr>
          </w:p>
        </w:tc>
        <w:tc>
          <w:tcPr>
            <w:tcW w:w="3780" w:type="dxa"/>
            <w:vAlign w:val="bottom"/>
            <w:gridSpan w:val="2"/>
          </w:tcPr>
          <w:p>
            <w:pPr>
              <w:jc w:val="right"/>
              <w:ind w:right="3046"/>
              <w:spacing w:after="0"/>
              <w:rPr>
                <w:sz w:val="20"/>
                <w:szCs w:val="20"/>
                <w:color w:val="auto"/>
              </w:rPr>
            </w:pPr>
            <w:r>
              <w:rPr>
                <w:rFonts w:ascii="Arial" w:cs="Arial" w:eastAsia="Arial" w:hAnsi="Arial"/>
                <w:sz w:val="18"/>
                <w:szCs w:val="18"/>
                <w:color w:val="auto"/>
              </w:rPr>
              <w:t>F-20</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775"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Accounting for Goodwill and Intangible Assets</w:t>
      </w:r>
    </w:p>
    <w:p>
      <w:pPr>
        <w:spacing w:after="0" w:line="121"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The Company accounts for its goodwill under SFAS No. 142. The SFAS No. 142 goodwill impairment model is a two-step process. First, it requires a comparison of the book value of net assets to the fair value of the reporting units that have goodwill assigned to them. Reporting units within the Company’s government systems and commercial networks segments have goodwill assigned to them. The Company estimates the fair values of the reporting units using discounted cash flows. The cash flow forecasts are adjusted by an appropriate discount rate in order to determine the present value of the cash flows. If the fair value is determined to be less than book value, a second step is performed to compute the amount of the impairment. In this process, a fair value for goodwill is estimated, based in part on the fair value of the operations used in the first step, and is compared to its carrying value. The shortfall of the fair value below carrying value represents the amount of goodwill impairment.</w:t>
      </w:r>
    </w:p>
    <w:p>
      <w:pPr>
        <w:spacing w:after="0" w:line="70" w:lineRule="exact"/>
        <w:rPr>
          <w:sz w:val="20"/>
          <w:szCs w:val="20"/>
          <w:color w:val="auto"/>
        </w:rPr>
      </w:pPr>
    </w:p>
    <w:p>
      <w:pPr>
        <w:jc w:val="both"/>
        <w:ind w:right="380" w:firstLine="222"/>
        <w:spacing w:after="0" w:line="286" w:lineRule="auto"/>
        <w:rPr>
          <w:sz w:val="20"/>
          <w:szCs w:val="20"/>
          <w:color w:val="auto"/>
        </w:rPr>
      </w:pPr>
      <w:r>
        <w:rPr>
          <w:rFonts w:ascii="Arial" w:cs="Arial" w:eastAsia="Arial" w:hAnsi="Arial"/>
          <w:sz w:val="17"/>
          <w:szCs w:val="17"/>
          <w:color w:val="auto"/>
        </w:rPr>
        <w:t>The annual test of impairment as required by SFAS No. 142 was completed in the fourth quarter of our fiscal year. In applying the first step, which is identification of any impairment of goodwill as of the test date, no impairment of goodwill resulted. Since step two is required only if step one reveals an impairment, the Company was not required to complete step two and the annual impairment testing was complete.</w:t>
      </w:r>
    </w:p>
    <w:p>
      <w:pPr>
        <w:spacing w:after="0" w:line="57" w:lineRule="exact"/>
        <w:rPr>
          <w:sz w:val="20"/>
          <w:szCs w:val="20"/>
          <w:color w:val="auto"/>
        </w:rPr>
      </w:pPr>
    </w:p>
    <w:p>
      <w:pPr>
        <w:jc w:val="both"/>
        <w:ind w:right="200" w:firstLine="222"/>
        <w:spacing w:after="0" w:line="259" w:lineRule="auto"/>
        <w:rPr>
          <w:sz w:val="20"/>
          <w:szCs w:val="20"/>
          <w:color w:val="auto"/>
        </w:rPr>
      </w:pPr>
      <w:r>
        <w:rPr>
          <w:rFonts w:ascii="Arial" w:cs="Arial" w:eastAsia="Arial" w:hAnsi="Arial"/>
          <w:sz w:val="18"/>
          <w:szCs w:val="18"/>
          <w:color w:val="auto"/>
        </w:rPr>
        <w:t>The Company will continue to make assessments of impairment on an annual basis in the fourth quarter of our fiscal year or more frequently if specific events occur. In assessing the value of goodwill, the Company must make assumptions regarding estimated future cash flows and other factors to determine the fair value of the reporting units. If these estimates or their related assumptions change in the future, the Company may be required to record impairment charges that would negatively impact operating results.</w:t>
      </w:r>
    </w:p>
    <w:p>
      <w:pPr>
        <w:spacing w:after="0" w:line="79"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increase in goodwill from March 30, 2007 to March 28, 2008 was the result of the Company’s business acquisition (Note 12) totaling approximately $1.3 million, partially offset by goodwill adjustments related to prior year acquisitions for final purchase price allocations as certain tax matters were resolved regarding acquired tax net operating losses.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other acquired intangible assets are amortized using the straight-line method over their estimated useful lives of eight months to ten years.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technology intangible asset has several components with estimated useful lives of five to nine years, contracts and relationships intangible asset has several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components with estimated useful lives of three to ten years, non-compete agreements have useful lives of three to five years and other amortizable assets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several components with original estimated useful lives of eight months to ten years. The amortization expense was $9.6 million, $9.5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$6.8 million for the fiscal years ended March 28, 2008, March 30, 2007 and March 31, 2006, respectively. The estimated amortization expense for the next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five years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8,821</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2010</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5,588</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4,826</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r>
      <w:tr>
        <w:trPr>
          <w:trHeight w:val="223"/>
        </w:trPr>
        <w:tc>
          <w:tcPr>
            <w:tcW w:w="1042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r>
      <w:tr>
        <w:trPr>
          <w:trHeight w:val="216"/>
        </w:trPr>
        <w:tc>
          <w:tcPr>
            <w:tcW w:w="10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25,477</w:t>
            </w:r>
          </w:p>
        </w:tc>
      </w:tr>
      <w:tr>
        <w:trPr>
          <w:trHeight w:val="20"/>
        </w:trPr>
        <w:tc>
          <w:tcPr>
            <w:tcW w:w="10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allocation of the other acquired intangible assets and the related accumulated amortization as of March 28, 2008 and March 30, 2007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As of March 28, 2008</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As of March 30, 2007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gridSpan w:val="4"/>
          </w:tcPr>
          <w:p>
            <w:pPr>
              <w:ind w:left="460"/>
              <w:spacing w:after="0" w:line="119" w:lineRule="exact"/>
              <w:rPr>
                <w:sz w:val="20"/>
                <w:szCs w:val="20"/>
                <w:color w:val="auto"/>
              </w:rPr>
            </w:pPr>
            <w:r>
              <w:rPr>
                <w:rFonts w:ascii="Arial" w:cs="Arial" w:eastAsia="Arial" w:hAnsi="Arial"/>
                <w:sz w:val="13"/>
                <w:szCs w:val="13"/>
                <w:b w:val="1"/>
                <w:bCs w:val="1"/>
                <w:color w:val="auto"/>
              </w:rPr>
              <w:t>Accumulated</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book</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Net book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940" w:type="dxa"/>
            <w:vAlign w:val="bottom"/>
            <w:gridSpan w:val="4"/>
          </w:tcPr>
          <w:p>
            <w:pPr>
              <w:ind w:left="4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44,392</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(29,529)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14,863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43,270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Contracts and relationships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18,898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(10,868)</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8,030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18,766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(8,570)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amortizable assets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9,323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(7,504)</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9,295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(6,815)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other acquired intangible assets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81,689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(56,212)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25,477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80,251</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F-21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Line of Credit</w:t>
      </w:r>
    </w:p>
    <w:p>
      <w:pPr>
        <w:spacing w:after="0" w:line="121"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On January 31, 2005, the Company entered into a three-year, $60 million revolving credit facility (the “Facility”) in the form of a Second Amended and Restated Revolving Loan Agreement. On January 25, 2008, the Company amended the Second Amended and Restated Revolving Loan Agreement extending the Facility’s current terms and conditions to April 30, 2008. On April 24, 2008, the Company amended the Second Amended and Restated Revolving Loan Agreement one more time extending the Facility’s current terms and conditions to July 31, 2008.</w:t>
      </w:r>
    </w:p>
    <w:p>
      <w:pPr>
        <w:spacing w:after="0" w:line="6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Borrowings under the Facility are permitted up to a maximum amount of $60 million, including up to $15 million of letters of credit. Borrowings under the Facility bear interest, at the Company’s option, at either the lender’s prime rate or at LIBOR (London Interbank Offered Rate) plus, in each case, an applicable margin based on the ratio of the Company’s total funded debt to EBITDA (income from operations plus depreciation and amortization). The Facility is collateralized by substantially all of the Company’s personal property assets. At March 28, 2008, the Company had $8.0 million outstanding under standby letters of credit leaving borrowing availability under our line of credit of $52.0 million.</w:t>
      </w:r>
    </w:p>
    <w:p>
      <w:pPr>
        <w:spacing w:after="0" w:line="80"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Facility contains financial covenants that set a minimum EBITDA limit for the twelve-month period ending on the last day of any fiscal quarter at $30 million, a minimum tangible net worth as of the last day of any fiscal quarter at $135 million and a minimum quick ratio (sum of cash and cash equivalents, accounts receivable and marketable securities, divided by current liabilities) as of the last day of any fiscal quarter at 1.50 to 1.00. The Company was in compliance with its loan covenants as of March 28,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Common Stock and Stock Plans</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April 2007, the Company filed a new universal shelf registration statement with the SEC for the future sale of up to an additional $200 million of debt securities, common stock, preferred stock, depositary shares and warrants. Additionally, the Company had available $200 million of these securities, which were previously registered under shelf registration statements the Company filed in June 2004 and September 2001. Up to an aggregate of $400 million of the securities may now be offered from time to time, separately or together, directly by us or through underwriters at amounts, prices, interest rates and other terms to be determined at the time of the offering.</w:t>
      </w:r>
    </w:p>
    <w:p>
      <w:pPr>
        <w:spacing w:after="0" w:line="80"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In November 1996, the Company adopted the 1996 Equity Participation Plan. The 1996 Equity Participation Plan provides for the grant to executive officers, other key employees, consultants and non-employee directors of the Company a broad variety of stock-based compensation alternatives such as nonqualified stock options, incentive stock options, restricted stock and performance awards. From November 1996 to October 2006, through various amendments of the 1996 Equity Participation Plan, the Company increased the maximum number of shares reserved for issuance under this plan from 2,500,000 shares to 10,600,000 shares. The Company believes that such awards better align the interests of its employees with those of its stockholders. Shares of the Company’s common stock granted under the Plan in the form of stock options or stock appreciation right are counted against the Plan share reserve on a one for one basis. Shares of the Company’s common stock granted under the Plan as an award other than as an option or as a stock appreciation right with a per share purchase price lower than 100% of fair market value on the date of grant are counted against the Plan share reserve as two shares for each share of common stock. Option awards are granted with an exercise price equal to the market price of the Company’s stock at the date of grant; those option awards generally vest based on three to five years of continuous service and have terms from six to ten years. Restricted stock units (RSUs) are granted to eligible employees and directors and represent rights to receive shares of common stock at a future date. As of March 28, 2008, the Company had granted options and restricted stock units, net of cancellations, to purchase 8,279,791 and 395,074 shares of common stock, respectively, under the Plan.</w:t>
      </w:r>
    </w:p>
    <w:p>
      <w:pPr>
        <w:spacing w:after="0" w:line="61"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In September 2005, the Company amended the Employee Stock Purchase Plan to increase the maximum number of shares reserved for issuance under this plan from 1,000,000 shares to 1,500,000 shares.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 As of March 28, 2008, the Company had issued 1,200,250 shares of common stock under this plan.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80" w:firstLine="225"/>
        <w:spacing w:after="0" w:line="269" w:lineRule="auto"/>
        <w:rPr>
          <w:sz w:val="20"/>
          <w:szCs w:val="20"/>
          <w:color w:val="auto"/>
        </w:rPr>
      </w:pPr>
      <w:r>
        <w:rPr>
          <w:rFonts w:ascii="Arial" w:cs="Arial" w:eastAsia="Arial" w:hAnsi="Arial"/>
          <w:sz w:val="17"/>
          <w:szCs w:val="17"/>
          <w:color w:val="auto"/>
        </w:rPr>
        <w:t>On March 30, 2006, the Board of Directors of the Company accelerated the vesting of certain unvested employee stock options previously awarded to the Company’s employees under the Company’s 1996 Equity Participation Plan. Stock options held by the Company’s non-employee directors were not accelerated. Options to purchase approximately 1.5 million shares of common stock were subject to this acceleration. All of the accelerated options were “in-the-money” and had exercise prices ranging from $4.70 to $26.94. All other terms and conditions applicable to such options, including the exercise prices, remain unchanged. As a result, the Company recorded $1.5 million in compensation expense in accordance with generally accepted accounting principles. The accelerated stock options are subject to lock-up restrictions preventing the sale of any shares acquired through the exercise of an accelerated stock option prior to the date on which the exercise would have been permitted under the stock option’s original vesting terms. The decision to accelerate vesting of these options was made primarily to eliminate the recognition of the related compensation expense in the Company’s future consolidated financial statements with respect to these unvested stock options upon adopting SFAS 123R. The Company recognized a pre-tax charge for estimated compensation expense of approximately $1.5 million in the fiscal fourth quarter ended March 31, 2006 after considering expected employee turnover rates to reflect, absent the acceleration, the “in-the-money” value of accelerated stock options the Company estimates would have been forfeited (unvested) pursuant to their original terms.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Transactions under the Company’s stock option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Number of</w:t>
            </w:r>
          </w:p>
        </w:tc>
        <w:tc>
          <w:tcPr>
            <w:tcW w:w="440" w:type="dxa"/>
            <w:vAlign w:val="bottom"/>
          </w:tcPr>
          <w:p>
            <w:pPr>
              <w:spacing w:after="0"/>
              <w:rPr>
                <w:sz w:val="14"/>
                <w:szCs w:val="14"/>
                <w:color w:val="auto"/>
              </w:rPr>
            </w:pPr>
          </w:p>
        </w:tc>
        <w:tc>
          <w:tcPr>
            <w:tcW w:w="164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Exercise Price</w:t>
            </w:r>
          </w:p>
        </w:tc>
        <w:tc>
          <w:tcPr>
            <w:tcW w:w="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1, 2005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6,014,361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$4.25 — $43.82</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granted</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345,274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26.94</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(67,109)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 25.01</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exercised</w:t>
            </w:r>
          </w:p>
        </w:tc>
        <w:tc>
          <w:tcPr>
            <w:tcW w:w="2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(592,380)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27.94</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2006</w:t>
            </w: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5,700,146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 43.82</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granted</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928,850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23.85</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33.68</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(55,244)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 28.91</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exercised</w:t>
            </w:r>
          </w:p>
        </w:tc>
        <w:tc>
          <w:tcPr>
            <w:tcW w:w="2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(894,199)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27.94</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30, 2007</w:t>
            </w: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5,679,553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 43.82</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granted</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401,950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19.74</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32.62</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(54,089)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 32.62</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exercised</w:t>
            </w:r>
          </w:p>
        </w:tc>
        <w:tc>
          <w:tcPr>
            <w:tcW w:w="2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(386,189)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28.91</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28, 2008</w:t>
            </w: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5,641,225</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$4.70 — $43.82</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firstLine="215"/>
        <w:spacing w:after="0" w:line="277" w:lineRule="auto"/>
        <w:rPr>
          <w:sz w:val="20"/>
          <w:szCs w:val="20"/>
          <w:color w:val="auto"/>
        </w:rPr>
      </w:pPr>
      <w:r>
        <w:rPr>
          <w:rFonts w:ascii="Arial" w:cs="Arial" w:eastAsia="Arial" w:hAnsi="Arial"/>
          <w:sz w:val="18"/>
          <w:szCs w:val="18"/>
          <w:color w:val="auto"/>
        </w:rPr>
        <w:t>All options issued under the Company’s stock option plans have an exercise price equal to the fair market value of the Company’s stock on the date of the grant.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all options outstanding and exercisable by price range as of March 28,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440" w:type="dxa"/>
            <w:vAlign w:val="bottom"/>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Outstanding</w:t>
            </w:r>
          </w:p>
        </w:tc>
        <w:tc>
          <w:tcPr>
            <w:tcW w:w="4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Life-Years</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center"/>
              <w:ind w:right="251"/>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Exercisable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center"/>
              <w:ind w:right="231"/>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$4.70 — $10.73</w:t>
            </w:r>
          </w:p>
        </w:tc>
        <w:tc>
          <w:tcPr>
            <w:tcW w:w="420" w:type="dxa"/>
            <w:vAlign w:val="bottom"/>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902,702</w:t>
            </w: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3.25</w:t>
            </w:r>
          </w:p>
        </w:tc>
        <w:tc>
          <w:tcPr>
            <w:tcW w:w="4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9.06</w:t>
            </w:r>
          </w:p>
        </w:tc>
        <w:tc>
          <w:tcPr>
            <w:tcW w:w="420" w:type="dxa"/>
            <w:vAlign w:val="bottom"/>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900,155</w:t>
            </w:r>
          </w:p>
        </w:tc>
        <w:tc>
          <w:tcPr>
            <w:tcW w:w="4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11.08 — 15.54</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591,798</w:t>
            </w:r>
          </w:p>
        </w:tc>
        <w:tc>
          <w:tcPr>
            <w:tcW w:w="260" w:type="dxa"/>
            <w:vAlign w:val="bottom"/>
          </w:tcPr>
          <w:p>
            <w:pPr>
              <w:spacing w:after="0"/>
              <w:rPr>
                <w:sz w:val="18"/>
                <w:szCs w:val="18"/>
                <w:color w:val="auto"/>
              </w:rPr>
            </w:pPr>
          </w:p>
        </w:tc>
        <w:tc>
          <w:tcPr>
            <w:tcW w:w="140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3.58</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13.59</w:t>
            </w:r>
          </w:p>
        </w:tc>
        <w:tc>
          <w:tcPr>
            <w:tcW w:w="1700" w:type="dxa"/>
            <w:vAlign w:val="bottom"/>
            <w:gridSpan w:val="4"/>
          </w:tcPr>
          <w:p>
            <w:pPr>
              <w:jc w:val="right"/>
              <w:ind w:right="280"/>
              <w:spacing w:after="0"/>
              <w:rPr>
                <w:sz w:val="20"/>
                <w:szCs w:val="20"/>
                <w:color w:val="auto"/>
              </w:rPr>
            </w:pPr>
            <w:r>
              <w:rPr>
                <w:rFonts w:ascii="Arial" w:cs="Arial" w:eastAsia="Arial" w:hAnsi="Arial"/>
                <w:sz w:val="18"/>
                <w:szCs w:val="18"/>
                <w:color w:val="auto"/>
              </w:rPr>
              <w:t>591,798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15.55 — 18.71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391,086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5.24</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17.56</w:t>
            </w:r>
          </w:p>
        </w:tc>
        <w:tc>
          <w:tcPr>
            <w:tcW w:w="17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383,086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4"/>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18.73 — 18.73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643,216</w:t>
            </w:r>
          </w:p>
        </w:tc>
        <w:tc>
          <w:tcPr>
            <w:tcW w:w="260" w:type="dxa"/>
            <w:vAlign w:val="bottom"/>
          </w:tcPr>
          <w:p>
            <w:pPr>
              <w:spacing w:after="0"/>
              <w:rPr>
                <w:sz w:val="18"/>
                <w:szCs w:val="18"/>
                <w:color w:val="auto"/>
              </w:rPr>
            </w:pPr>
          </w:p>
        </w:tc>
        <w:tc>
          <w:tcPr>
            <w:tcW w:w="140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6.61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18.73</w:t>
            </w:r>
          </w:p>
        </w:tc>
        <w:tc>
          <w:tcPr>
            <w:tcW w:w="1700" w:type="dxa"/>
            <w:vAlign w:val="bottom"/>
            <w:gridSpan w:val="4"/>
          </w:tcPr>
          <w:p>
            <w:pPr>
              <w:jc w:val="right"/>
              <w:ind w:right="280"/>
              <w:spacing w:after="0"/>
              <w:rPr>
                <w:sz w:val="20"/>
                <w:szCs w:val="20"/>
                <w:color w:val="auto"/>
              </w:rPr>
            </w:pPr>
            <w:r>
              <w:rPr>
                <w:rFonts w:ascii="Arial" w:cs="Arial" w:eastAsia="Arial" w:hAnsi="Arial"/>
                <w:sz w:val="18"/>
                <w:szCs w:val="18"/>
                <w:color w:val="auto"/>
              </w:rPr>
              <w:t>643,216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18.97 — 21.02</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564,533</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6.05</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20.63</w:t>
            </w:r>
          </w:p>
        </w:tc>
        <w:tc>
          <w:tcPr>
            <w:tcW w:w="17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473,033</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4"/>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21.75 — 21.83</w:t>
            </w:r>
          </w:p>
        </w:tc>
        <w:tc>
          <w:tcPr>
            <w:tcW w:w="1660" w:type="dxa"/>
            <w:vAlign w:val="bottom"/>
            <w:gridSpan w:val="4"/>
          </w:tcPr>
          <w:p>
            <w:pPr>
              <w:jc w:val="right"/>
              <w:ind w:right="260"/>
              <w:spacing w:after="0"/>
              <w:rPr>
                <w:sz w:val="20"/>
                <w:szCs w:val="20"/>
                <w:color w:val="auto"/>
              </w:rPr>
            </w:pPr>
            <w:r>
              <w:rPr>
                <w:rFonts w:ascii="Arial" w:cs="Arial" w:eastAsia="Arial" w:hAnsi="Arial"/>
                <w:sz w:val="18"/>
                <w:szCs w:val="18"/>
                <w:color w:val="auto"/>
              </w:rPr>
              <w:t>41,000</w:t>
            </w:r>
          </w:p>
        </w:tc>
        <w:tc>
          <w:tcPr>
            <w:tcW w:w="140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5.40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21.79</w:t>
            </w:r>
          </w:p>
        </w:tc>
        <w:tc>
          <w:tcPr>
            <w:tcW w:w="1700" w:type="dxa"/>
            <w:vAlign w:val="bottom"/>
            <w:gridSpan w:val="4"/>
          </w:tcPr>
          <w:p>
            <w:pPr>
              <w:jc w:val="right"/>
              <w:ind w:right="280"/>
              <w:spacing w:after="0"/>
              <w:rPr>
                <w:sz w:val="20"/>
                <w:szCs w:val="20"/>
                <w:color w:val="auto"/>
              </w:rPr>
            </w:pPr>
            <w:r>
              <w:rPr>
                <w:rFonts w:ascii="Arial" w:cs="Arial" w:eastAsia="Arial" w:hAnsi="Arial"/>
                <w:sz w:val="18"/>
                <w:szCs w:val="18"/>
                <w:color w:val="auto"/>
              </w:rPr>
              <w:t>41,000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22.03 — 22.03</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864,850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2.50</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22.03</w:t>
            </w:r>
          </w:p>
        </w:tc>
        <w:tc>
          <w:tcPr>
            <w:tcW w:w="17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864,850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4"/>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22.10 — 26.13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497,623</w:t>
            </w:r>
          </w:p>
        </w:tc>
        <w:tc>
          <w:tcPr>
            <w:tcW w:w="260" w:type="dxa"/>
            <w:vAlign w:val="bottom"/>
          </w:tcPr>
          <w:p>
            <w:pPr>
              <w:spacing w:after="0"/>
              <w:rPr>
                <w:sz w:val="18"/>
                <w:szCs w:val="18"/>
                <w:color w:val="auto"/>
              </w:rPr>
            </w:pPr>
          </w:p>
        </w:tc>
        <w:tc>
          <w:tcPr>
            <w:tcW w:w="140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5.51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24.00</w:t>
            </w:r>
          </w:p>
        </w:tc>
        <w:tc>
          <w:tcPr>
            <w:tcW w:w="1700" w:type="dxa"/>
            <w:vAlign w:val="bottom"/>
            <w:gridSpan w:val="4"/>
          </w:tcPr>
          <w:p>
            <w:pPr>
              <w:jc w:val="right"/>
              <w:ind w:right="280"/>
              <w:spacing w:after="0"/>
              <w:rPr>
                <w:sz w:val="20"/>
                <w:szCs w:val="20"/>
                <w:color w:val="auto"/>
              </w:rPr>
            </w:pPr>
            <w:r>
              <w:rPr>
                <w:rFonts w:ascii="Arial" w:cs="Arial" w:eastAsia="Arial" w:hAnsi="Arial"/>
                <w:sz w:val="18"/>
                <w:szCs w:val="18"/>
                <w:color w:val="auto"/>
              </w:rPr>
              <w:t>340,182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26.15 — 26.15</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583,750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4.54</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26.15</w:t>
            </w:r>
          </w:p>
        </w:tc>
        <w:tc>
          <w:tcPr>
            <w:tcW w:w="17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145,943</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4"/>
              </w:rPr>
              <w:t>26.15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26.16 — 43.82</w:t>
            </w:r>
          </w:p>
        </w:tc>
        <w:tc>
          <w:tcPr>
            <w:tcW w:w="68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560,667</w:t>
            </w:r>
          </w:p>
        </w:tc>
        <w:tc>
          <w:tcPr>
            <w:tcW w:w="260" w:type="dxa"/>
            <w:vAlign w:val="bottom"/>
          </w:tcPr>
          <w:p>
            <w:pPr>
              <w:spacing w:after="0"/>
              <w:rPr>
                <w:sz w:val="19"/>
                <w:szCs w:val="19"/>
                <w:color w:val="auto"/>
              </w:rPr>
            </w:pPr>
          </w:p>
        </w:tc>
        <w:tc>
          <w:tcPr>
            <w:tcW w:w="140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4.47</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29.93</w:t>
            </w:r>
          </w:p>
        </w:tc>
        <w:tc>
          <w:tcPr>
            <w:tcW w:w="700" w:type="dxa"/>
            <w:vAlign w:val="bottom"/>
            <w:gridSpan w:val="2"/>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214,424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4.70 — 43.82</w:t>
            </w:r>
          </w:p>
        </w:tc>
        <w:tc>
          <w:tcPr>
            <w:tcW w:w="680" w:type="dxa"/>
            <w:vAlign w:val="bottom"/>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5,641,225</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4.44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19.63</w:t>
            </w:r>
          </w:p>
        </w:tc>
        <w:tc>
          <w:tcPr>
            <w:tcW w:w="700" w:type="dxa"/>
            <w:vAlign w:val="bottom"/>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4,597,687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4"/>
              </w:rPr>
              <w:t>17.99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8"/>
                <w:szCs w:val="18"/>
                <w:color w:val="auto"/>
              </w:rPr>
              <w:t>F-23</w:t>
            </w: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Transactions under the Company’s RSUs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2006</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Awarded</w:t>
            </w:r>
          </w:p>
        </w:tc>
        <w:tc>
          <w:tcPr>
            <w:tcW w:w="2340" w:type="dxa"/>
            <w:vAlign w:val="bottom"/>
            <w:gridSpan w:val="7"/>
          </w:tcPr>
          <w:p>
            <w:pPr>
              <w:jc w:val="right"/>
              <w:ind w:right="260"/>
              <w:spacing w:after="0"/>
              <w:rPr>
                <w:sz w:val="20"/>
                <w:szCs w:val="20"/>
                <w:color w:val="auto"/>
              </w:rPr>
            </w:pPr>
            <w:r>
              <w:rPr>
                <w:rFonts w:ascii="Arial" w:cs="Arial" w:eastAsia="Arial" w:hAnsi="Arial"/>
                <w:sz w:val="18"/>
                <w:szCs w:val="18"/>
                <w:color w:val="auto"/>
              </w:rPr>
              <w:t>392,018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234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Released</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30, 2007</w:t>
            </w:r>
          </w:p>
        </w:tc>
        <w:tc>
          <w:tcPr>
            <w:tcW w:w="1500" w:type="dxa"/>
            <w:vAlign w:val="bottom"/>
            <w:gridSpan w:val="4"/>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6"/>
              </w:rPr>
              <w:t>389,514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Awarded</w:t>
            </w:r>
          </w:p>
        </w:tc>
        <w:tc>
          <w:tcPr>
            <w:tcW w:w="2340" w:type="dxa"/>
            <w:vAlign w:val="bottom"/>
            <w:gridSpan w:val="7"/>
          </w:tcPr>
          <w:p>
            <w:pPr>
              <w:jc w:val="right"/>
              <w:ind w:right="260"/>
              <w:spacing w:after="0"/>
              <w:rPr>
                <w:sz w:val="20"/>
                <w:szCs w:val="20"/>
                <w:color w:val="auto"/>
              </w:rPr>
            </w:pPr>
            <w:r>
              <w:rPr>
                <w:rFonts w:ascii="Arial" w:cs="Arial" w:eastAsia="Arial" w:hAnsi="Arial"/>
                <w:sz w:val="18"/>
                <w:szCs w:val="18"/>
                <w:color w:val="auto"/>
              </w:rPr>
              <w:t>12,900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234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(7,340)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Released</w:t>
            </w:r>
          </w:p>
        </w:tc>
        <w:tc>
          <w:tcPr>
            <w:tcW w:w="1500" w:type="dxa"/>
            <w:vAlign w:val="bottom"/>
            <w:gridSpan w:val="4"/>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(94,165)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28, 2008</w:t>
            </w:r>
          </w:p>
        </w:tc>
        <w:tc>
          <w:tcPr>
            <w:tcW w:w="1500" w:type="dxa"/>
            <w:vAlign w:val="bottom"/>
            <w:gridSpan w:val="4"/>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6"/>
              </w:rPr>
              <w:t>300,909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60" w:type="dxa"/>
            <w:vAlign w:val="bottom"/>
            <w:gridSpan w:val="8"/>
          </w:tcPr>
          <w:p>
            <w:pPr>
              <w:ind w:left="200"/>
              <w:spacing w:after="0"/>
              <w:rPr>
                <w:sz w:val="20"/>
                <w:szCs w:val="20"/>
                <w:color w:val="auto"/>
              </w:rPr>
            </w:pPr>
            <w:r>
              <w:rPr>
                <w:rFonts w:ascii="Arial" w:cs="Arial" w:eastAsia="Arial" w:hAnsi="Arial"/>
                <w:sz w:val="18"/>
                <w:szCs w:val="18"/>
                <w:color w:val="auto"/>
              </w:rPr>
              <w:t>All RSUs awarded under the Company’s stock plans have an exercise price equal to zero.</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Note 6 — Shares Used in Earnings Per Share Calculations</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4"/>
                <w:szCs w:val="14"/>
                <w:b w:val="1"/>
                <w:bCs w:val="1"/>
                <w:color w:val="auto"/>
                <w:w w:val="91"/>
              </w:rPr>
              <w:t>Years Ended</w:t>
            </w: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340" w:type="dxa"/>
            <w:vAlign w:val="bottom"/>
            <w:gridSpan w:val="7"/>
          </w:tcPr>
          <w:p>
            <w:pPr>
              <w:jc w:val="right"/>
              <w:ind w:right="1040"/>
              <w:spacing w:after="0" w:line="142" w:lineRule="exact"/>
              <w:rPr>
                <w:sz w:val="20"/>
                <w:szCs w:val="20"/>
                <w:color w:val="auto"/>
              </w:rPr>
            </w:pPr>
            <w:r>
              <w:rPr>
                <w:rFonts w:ascii="Arial" w:cs="Arial" w:eastAsia="Arial" w:hAnsi="Arial"/>
                <w:sz w:val="14"/>
                <w:szCs w:val="14"/>
                <w:b w:val="1"/>
                <w:bCs w:val="1"/>
                <w:color w:val="auto"/>
              </w:rPr>
              <w:t>March 28, 2008</w:t>
            </w:r>
          </w:p>
        </w:tc>
        <w:tc>
          <w:tcPr>
            <w:tcW w:w="1680" w:type="dxa"/>
            <w:vAlign w:val="bottom"/>
            <w:gridSpan w:val="6"/>
          </w:tcPr>
          <w:p>
            <w:pPr>
              <w:jc w:val="center"/>
              <w:ind w:right="680"/>
              <w:spacing w:after="0" w:line="142" w:lineRule="exact"/>
              <w:rPr>
                <w:sz w:val="20"/>
                <w:szCs w:val="20"/>
                <w:color w:val="auto"/>
              </w:rPr>
            </w:pPr>
            <w:r>
              <w:rPr>
                <w:rFonts w:ascii="Arial" w:cs="Arial" w:eastAsia="Arial" w:hAnsi="Arial"/>
                <w:sz w:val="14"/>
                <w:szCs w:val="14"/>
                <w:b w:val="1"/>
                <w:bCs w:val="1"/>
                <w:color w:val="auto"/>
                <w:w w:val="96"/>
              </w:rPr>
              <w:t>March 30, 2007</w:t>
            </w:r>
          </w:p>
        </w:tc>
        <w:tc>
          <w:tcPr>
            <w:tcW w:w="40" w:type="dxa"/>
            <w:vAlign w:val="bottom"/>
          </w:tcPr>
          <w:p>
            <w:pPr>
              <w:spacing w:after="0"/>
              <w:rPr>
                <w:sz w:val="12"/>
                <w:szCs w:val="12"/>
                <w:color w:val="auto"/>
              </w:rPr>
            </w:pPr>
          </w:p>
        </w:tc>
        <w:tc>
          <w:tcPr>
            <w:tcW w:w="162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March 31, 2006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Weighted average common shares outstanding used in calculating basic</w:t>
            </w:r>
          </w:p>
        </w:tc>
        <w:tc>
          <w:tcPr>
            <w:tcW w:w="4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tcBorders>
              <w:top w:val="single" w:sz="8" w:color="auto"/>
              <w:right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share</w:t>
            </w:r>
          </w:p>
        </w:tc>
        <w:tc>
          <w:tcPr>
            <w:tcW w:w="15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30,231,925</w:t>
            </w: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gridSpan w:val="5"/>
            <w:shd w:val="clear" w:color="auto" w:fill="CCEEFF"/>
          </w:tcPr>
          <w:p>
            <w:pPr>
              <w:jc w:val="right"/>
              <w:ind w:right="330"/>
              <w:spacing w:after="0"/>
              <w:rPr>
                <w:sz w:val="20"/>
                <w:szCs w:val="20"/>
                <w:color w:val="auto"/>
              </w:rPr>
            </w:pPr>
            <w:r>
              <w:rPr>
                <w:rFonts w:ascii="Arial" w:cs="Arial" w:eastAsia="Arial" w:hAnsi="Arial"/>
                <w:sz w:val="18"/>
                <w:szCs w:val="18"/>
                <w:color w:val="auto"/>
                <w:w w:val="97"/>
              </w:rPr>
              <w:t>28,589,144</w:t>
            </w:r>
          </w:p>
        </w:tc>
        <w:tc>
          <w:tcPr>
            <w:tcW w:w="360" w:type="dxa"/>
            <w:vAlign w:val="bottom"/>
            <w:shd w:val="clear" w:color="auto" w:fill="CCEEFF"/>
          </w:tcPr>
          <w:p>
            <w:pPr>
              <w:spacing w:after="0"/>
              <w:rPr>
                <w:sz w:val="20"/>
                <w:szCs w:val="20"/>
                <w:color w:val="auto"/>
              </w:rPr>
            </w:pPr>
          </w:p>
        </w:tc>
        <w:tc>
          <w:tcPr>
            <w:tcW w:w="16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27,132,973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auto"/>
                <w:w w:val="99"/>
              </w:rPr>
              <w:t>Weighted average options to purchase common stock as determined by</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application of the treasury stock method</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1,835,023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2,129,238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1,722,087</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restricted stock unit to acquire common stock as</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determined by application of the treasury stock method</w:t>
            </w:r>
          </w:p>
        </w:tc>
        <w:tc>
          <w:tcPr>
            <w:tcW w:w="15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96,198</w:t>
            </w: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gridSpan w:val="5"/>
            <w:shd w:val="clear" w:color="auto" w:fill="CCEEFF"/>
          </w:tcPr>
          <w:p>
            <w:pPr>
              <w:jc w:val="right"/>
              <w:ind w:right="330"/>
              <w:spacing w:after="0"/>
              <w:rPr>
                <w:sz w:val="20"/>
                <w:szCs w:val="20"/>
                <w:color w:val="auto"/>
              </w:rPr>
            </w:pPr>
            <w:r>
              <w:rPr>
                <w:rFonts w:ascii="Arial" w:cs="Arial" w:eastAsia="Arial" w:hAnsi="Arial"/>
                <w:sz w:val="18"/>
                <w:szCs w:val="18"/>
                <w:color w:val="auto"/>
              </w:rPr>
              <w:t>17,804</w:t>
            </w: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auto"/>
                <w:w w:val="97"/>
              </w:rPr>
              <w:t>Weighted average contingently issuable shares in connection with certain</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terms of the JAST acquisition agreement (Note 12)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9,803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contingently issuable shares in connection with certain</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terms of the Enerdyne acquisition agreement (Note 12)</w:t>
            </w:r>
          </w:p>
        </w:tc>
        <w:tc>
          <w:tcPr>
            <w:tcW w:w="15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15,482</w:t>
            </w: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138,264</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Employee Stock Purchase Plan equivalents</w:t>
            </w:r>
          </w:p>
        </w:tc>
        <w:tc>
          <w:tcPr>
            <w:tcW w:w="420" w:type="dxa"/>
            <w:vAlign w:val="bottom"/>
          </w:tcPr>
          <w:p>
            <w:pPr>
              <w:spacing w:after="0"/>
              <w:rPr>
                <w:sz w:val="18"/>
                <w:szCs w:val="18"/>
                <w:color w:val="auto"/>
              </w:rPr>
            </w:pPr>
          </w:p>
        </w:tc>
        <w:tc>
          <w:tcPr>
            <w:tcW w:w="1080" w:type="dxa"/>
            <w:vAlign w:val="bottom"/>
            <w:gridSpan w:val="3"/>
          </w:tcPr>
          <w:p>
            <w:pPr>
              <w:jc w:val="right"/>
              <w:ind w:right="208"/>
              <w:spacing w:after="0"/>
              <w:rPr>
                <w:sz w:val="20"/>
                <w:szCs w:val="20"/>
                <w:color w:val="auto"/>
              </w:rPr>
            </w:pPr>
            <w:r>
              <w:rPr>
                <w:rFonts w:ascii="Arial" w:cs="Arial" w:eastAsia="Arial" w:hAnsi="Arial"/>
                <w:sz w:val="18"/>
                <w:szCs w:val="18"/>
                <w:color w:val="auto"/>
              </w:rPr>
              <w:t>35,259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5"/>
          </w:tcPr>
          <w:p>
            <w:pPr>
              <w:jc w:val="right"/>
              <w:ind w:right="330"/>
              <w:spacing w:after="0"/>
              <w:rPr>
                <w:sz w:val="20"/>
                <w:szCs w:val="20"/>
                <w:color w:val="auto"/>
              </w:rPr>
            </w:pPr>
            <w:r>
              <w:rPr>
                <w:rFonts w:ascii="Arial" w:cs="Arial" w:eastAsia="Arial" w:hAnsi="Arial"/>
                <w:sz w:val="18"/>
                <w:szCs w:val="18"/>
                <w:color w:val="auto"/>
              </w:rPr>
              <w:t>18,988</w:t>
            </w: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2,227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5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32,223,690</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330"/>
              <w:spacing w:after="0"/>
              <w:rPr>
                <w:sz w:val="20"/>
                <w:szCs w:val="20"/>
                <w:color w:val="auto"/>
              </w:rPr>
            </w:pPr>
            <w:r>
              <w:rPr>
                <w:rFonts w:ascii="Arial" w:cs="Arial" w:eastAsia="Arial" w:hAnsi="Arial"/>
                <w:sz w:val="18"/>
                <w:szCs w:val="18"/>
                <w:color w:val="auto"/>
                <w:w w:val="97"/>
              </w:rPr>
              <w:t>30,893,438</w:t>
            </w:r>
          </w:p>
        </w:tc>
        <w:tc>
          <w:tcPr>
            <w:tcW w:w="36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28,857,287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Antidilutive shares relating to stock options excluded from the calculation were 986,136, 511,253 and 255,771 shares for the fiscal years ended March 28, 2008, March 30, 2007, and March 31, 2006, respectively. Antidilutive shares relating to restricted stock units excluded from the calculation were 1,854 for the fiscal year ended March 28, 2008. For the fiscal years ended March 30, 2007, and March 31, 2006, there were no antidilutive shares relating to restricted stock units excluded from the calculation.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 for income taxes includes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8"/>
              </w:rPr>
              <w:t>Years Ended</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28, 2008</w:t>
            </w:r>
          </w:p>
        </w:tc>
        <w:tc>
          <w:tcPr>
            <w:tcW w:w="186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March 30, 2007</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31, 2006</w:t>
            </w:r>
          </w:p>
        </w:tc>
        <w:tc>
          <w:tcPr>
            <w:tcW w:w="10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tax provision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15,233</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10,781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9,613</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r>
      <w:tr>
        <w:trPr>
          <w:trHeight w:val="223"/>
        </w:trPr>
        <w:tc>
          <w:tcPr>
            <w:tcW w:w="7200" w:type="dxa"/>
            <w:vAlign w:val="bottom"/>
          </w:tcPr>
          <w:p>
            <w:pPr>
              <w:ind w:left="2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17,097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10,510</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Deferred tax (benefit) provision</w:t>
            </w: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(3,269)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(2,543)</w:t>
            </w: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(1,512)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(1,085)</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(2,862)</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6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0"/>
                <w:szCs w:val="20"/>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provision for income taxes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13,521</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w:t>
            </w:r>
          </w:p>
        </w:tc>
      </w:tr>
      <w:tr>
        <w:trPr>
          <w:trHeight w:val="20"/>
        </w:trPr>
        <w:tc>
          <w:tcPr>
            <w:tcW w:w="7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Significant components of the Company’s net deferred tax assets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348"/>
              <w:spacing w:after="0"/>
              <w:rPr>
                <w:sz w:val="20"/>
                <w:szCs w:val="20"/>
                <w:color w:val="auto"/>
              </w:rPr>
            </w:pPr>
            <w:r>
              <w:rPr>
                <w:rFonts w:ascii="Arial" w:cs="Arial" w:eastAsia="Arial" w:hAnsi="Arial"/>
                <w:sz w:val="14"/>
                <w:szCs w:val="14"/>
                <w:b w:val="1"/>
                <w:bCs w:val="1"/>
                <w:color w:val="auto"/>
                <w:w w:val="91"/>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9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March 28, 2008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5"/>
          </w:tcPr>
          <w:p>
            <w:pPr>
              <w:jc w:val="center"/>
              <w:ind w:left="29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Tax credit carryforwards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13,076</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 reserve</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w:t>
            </w: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Accrued vacation</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2,560</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Inventory reserve</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1,672</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compensation</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w:t>
            </w: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Contract accounting</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r>
      <w:tr>
        <w:trPr>
          <w:trHeight w:val="223"/>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(969)</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equipment and intangible assets</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w:t>
            </w:r>
          </w:p>
        </w:tc>
      </w:tr>
      <w:tr>
        <w:trPr>
          <w:trHeight w:val="230"/>
        </w:trPr>
        <w:tc>
          <w:tcPr>
            <w:tcW w:w="20" w:type="dxa"/>
            <w:vAlign w:val="bottom"/>
          </w:tcPr>
          <w:p>
            <w:pPr>
              <w:spacing w:after="0"/>
              <w:rPr>
                <w:sz w:val="20"/>
                <w:szCs w:val="20"/>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28,833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23,049</w:t>
            </w: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15"/>
        <w:spacing w:after="0" w:line="277"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8"/>
              </w:rPr>
              <w:t>Years Ended</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3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28, 2008</w:t>
            </w:r>
          </w:p>
        </w:tc>
        <w:tc>
          <w:tcPr>
            <w:tcW w:w="186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March 30, 2007</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31, 2006</w:t>
            </w:r>
          </w:p>
        </w:tc>
        <w:tc>
          <w:tcPr>
            <w:tcW w:w="10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Tax expense at federal statutory rate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16,830</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13,016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10,056</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State tax provision, net of federal benefit</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2,071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1,595</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Tax credits, net</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(5,604)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(7,727)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Export sales tax benefit</w:t>
            </w:r>
          </w:p>
        </w:tc>
        <w:tc>
          <w:tcPr>
            <w:tcW w:w="28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(578)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6,755</w:t>
            </w: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of March 28, 2008, the Company had federal and state research credit carryforwards of approximately $4.8 million and $9.6 million, respectively, that begin to expire in 2026 and 2020, respectively.</w:t>
      </w:r>
    </w:p>
    <w:p>
      <w:pPr>
        <w:spacing w:after="0" w:line="62"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In accordance with SFAS 109, net deferred tax assets are reduced by a valuation allowance if, based on all the available evidence, it is more likely than not that some or all of the deferred tax assets will not be realized. A valuation allowance of $969,000 at March 28, 2008 and $403,000 at March 30, 2007 has been established relating to state net operating loss carryforwards and research credit carryforwards that, based on management’s estimate of future taxable income attributable to certain states and generation of additional research credits, are considered more likely than not to expire unused.</w:t>
      </w:r>
    </w:p>
    <w:p>
      <w:pPr>
        <w:spacing w:after="0" w:line="46"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In fiscal year 2008, approximately $875,000 of deferred tax assets related to pre-acquisition federal net operating loss carryovers were recorded with a corresponding adjustment to goodwill.</w:t>
      </w:r>
    </w:p>
    <w:p>
      <w:pPr>
        <w:spacing w:after="0" w:line="62" w:lineRule="exact"/>
        <w:rPr>
          <w:sz w:val="20"/>
          <w:szCs w:val="20"/>
          <w:color w:val="auto"/>
        </w:rPr>
      </w:pPr>
    </w:p>
    <w:p>
      <w:pPr>
        <w:ind w:right="120" w:firstLine="222"/>
        <w:spacing w:after="0" w:line="302" w:lineRule="auto"/>
        <w:rPr>
          <w:sz w:val="20"/>
          <w:szCs w:val="20"/>
          <w:color w:val="auto"/>
        </w:rPr>
      </w:pPr>
      <w:r>
        <w:rPr>
          <w:rFonts w:ascii="Arial" w:cs="Arial" w:eastAsia="Arial" w:hAnsi="Arial"/>
          <w:sz w:val="16"/>
          <w:szCs w:val="16"/>
          <w:color w:val="auto"/>
        </w:rPr>
        <w:t>There is approximately $5.8 million of pre-acquisition state net operating loss carryovers related to the acquisition of ICT. The future tax benefits of these losses have not been recognized as deferred tax assets nor shown in the deferred tax table presented above based upon the uncertainty of future taxable income attributable to Massachusetts. To the extent these assets are recognized in the future, the adjustment will be applied first to reduce to zero any goodwill related to the acquisition, then as a reduction of long-term intangibles, and then as a reduction of the income tax provision.</w:t>
      </w:r>
    </w:p>
    <w:p>
      <w:pPr>
        <w:spacing w:after="0" w:line="46"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If the Company has an “ownership change” as defined under Internal Revenue Code Section 382, it may have an annual limitation on the utilization of its tax credit carryforwards.</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On March 31, 2007, the Company adopted the provisions of FIN 48. The Company recorded a cumulative change of $342,000 as a decrease to retained earnings.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tcPr>
          <w:p>
            <w:pPr>
              <w:ind w:left="5160"/>
              <w:spacing w:after="0"/>
              <w:rPr>
                <w:sz w:val="20"/>
                <w:szCs w:val="20"/>
                <w:color w:val="auto"/>
              </w:rPr>
            </w:pPr>
            <w:r>
              <w:rPr>
                <w:rFonts w:ascii="Arial" w:cs="Arial" w:eastAsia="Arial" w:hAnsi="Arial"/>
                <w:sz w:val="18"/>
                <w:szCs w:val="18"/>
                <w:b w:val="1"/>
                <w:bCs w:val="1"/>
                <w:color w:val="auto"/>
              </w:rPr>
              <w:t>VIASAT, INC.</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10640" w:type="dxa"/>
            <w:vAlign w:val="bottom"/>
          </w:tcPr>
          <w:p>
            <w:pPr>
              <w:ind w:left="336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0640" w:type="dxa"/>
            <w:vAlign w:val="bottom"/>
          </w:tcPr>
          <w:p>
            <w:pPr>
              <w:ind w:left="220"/>
              <w:spacing w:after="0"/>
              <w:rPr>
                <w:sz w:val="20"/>
                <w:szCs w:val="20"/>
                <w:color w:val="auto"/>
              </w:rPr>
            </w:pPr>
            <w:r>
              <w:rPr>
                <w:rFonts w:ascii="Arial" w:cs="Arial" w:eastAsia="Arial" w:hAnsi="Arial"/>
                <w:sz w:val="18"/>
                <w:szCs w:val="18"/>
                <w:color w:val="auto"/>
              </w:rPr>
              <w:t>The following table summarizes the activity related to our unrecognized tax benefits: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106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2007</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29,235</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Increase related to current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1,456</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Tax positions of prior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Statute expirations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Balance at March 28, 2008</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30,691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Of the total unrecognized tax benefits at March 28, 2008, approximately $21.6 million would reduce our annual effective tax rate if recognized.</w:t>
      </w:r>
    </w:p>
    <w:p>
      <w:pPr>
        <w:spacing w:after="0" w:line="129"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Included in the balance at March 28, 2008 are $4.8 million of tax positions for which the ultimate deductibility is highly certain but for which there is uncertainty about the timing of such deductibility. Because of the impact of deferred tax accounting, other than interest and penalties, the disallowance of the shorter deductibility period would not affect the annual effective tax rate but would accelerate the payment of cash to the taxing authority to an earlier period.</w:t>
      </w:r>
    </w:p>
    <w:p>
      <w:pPr>
        <w:spacing w:after="0" w:line="3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 the next twelve months it is reasonably possible that the amount of unrecognized tax benefits will decrease by approximately $937,000 as a result of the expiration of the statute of limitations for previously filed tax returns.</w:t>
      </w:r>
    </w:p>
    <w:p>
      <w:pPr>
        <w:spacing w:after="0" w:line="62"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Company is subject to periodic audits by domestic and foreign tax authorities. The Internal Revenue Service (“IRS”) examination of our U.S. federal tax returns for fiscal years 2001-2004 was completed in the fourth quarter of fiscal year 2006 and agreement was reached with the IRS on the proposed adjustments. There was no material impact on income taxes or interest resulting from these audits and we consider those fiscal years to be effectively settled under FIN 48. By statute, our U.S. federal returns are subject to examination by the IRS for fiscal years 2005 through 2007. Additionally, tax credit carryovers that were generated in prior years and utilized in these years may also be subject to examination by the IRS. In July 2007, the IRS commenced an examination of our fiscal year 2006 federal income tax return. With few exceptions, the fiscal years 2004 to 2007 remain open to examination by state and foreign taxing jurisdictions. The Company believes that it has appropriate support for the income tax positions taken on its tax returns and its accruals for tax liabilities are adequate for all open years based on an assessment of many factors, including past experience and interpretations. The Company’s policy is to recognize interest expense and penalties related to income tax matters as a component of income tax expense. There was $1.2 million of accrued interest and penalties associated with uncertain tax positions as of March 28, 2008, of which $312,000 was recognized in the period ended March 28, 2008.</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Benefits</w:t>
      </w:r>
    </w:p>
    <w:p>
      <w:pPr>
        <w:spacing w:after="0" w:line="121" w:lineRule="exact"/>
        <w:rPr>
          <w:sz w:val="20"/>
          <w:szCs w:val="20"/>
          <w:color w:val="auto"/>
        </w:rPr>
      </w:pPr>
    </w:p>
    <w:p>
      <w:pPr>
        <w:ind w:right="300" w:firstLine="222"/>
        <w:spacing w:after="0" w:line="257" w:lineRule="auto"/>
        <w:rPr>
          <w:sz w:val="20"/>
          <w:szCs w:val="20"/>
          <w:color w:val="auto"/>
        </w:rPr>
      </w:pPr>
      <w:r>
        <w:rPr>
          <w:rFonts w:ascii="Arial" w:cs="Arial" w:eastAsia="Arial" w:hAnsi="Arial"/>
          <w:sz w:val="18"/>
          <w:szCs w:val="18"/>
          <w:color w:val="auto"/>
        </w:rPr>
        <w:t>The Company is a sponsor of a voluntary deferred compensation plan under Section 401(k) of the Internal Revenue Code. The Company may make discretionary contributions to the plan which vest equally over six years. Employees who are at least 18 years of age are eligible to participate in the plan. Participants are entitled, upon termination or retirement, to their vested portion of the plan assets which are held by an independent trustee. Discretionary contributions accrued by the Company during fiscal years 2008, 2007 and 2006 amounted to $4.7 million, $3.9 million and $3.2 million, respectively. The cost of administering the plan is not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w:t>
      </w:r>
    </w:p>
    <w:p>
      <w:pPr>
        <w:spacing w:after="0" w:line="12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January 2008, the Company entered into several agreements with Space Systems/Loral (SS/L), Loral Space &amp; Communications (Loral) and Telesat Canada (Telesat) related to the Company’s high capacity satellite system. Under the satellite construction contract with SS/L, the Company will purchase a Ka-band satellite (ViaSat-1) for approximately $209.1 million, subject to purchase price adjustments based on satellite performance, planned for launch in early 2011. The Company does not believe the purchase price paid by ViaSat to SS/L for the ViaSat-1 satellite will materially change. In addition, the Company entered into a beam sharing agreement with Loral (“Beam Sharing Agreement”), whereby Loral is responsible for contributing 15% of the total costs (estimated at approximately $60 million) associated with the ViaSat-1 satellite project. As part of this arrangement, Loral executed a separate contract with SS/L whereby Loral is purchasing the Canadian beams on the ViaSat-1 satellite (Loral Beams) for approximately $36.9 million (15% of the total satellite cost of $246.0 million). In addition, Loral remains responsible under the Beam Sharing Agreement to reimburse the Company for certain costs associated with launch, launch and in-orbit insurance, and operating the satellite. The reimbursed costs to the Company from Loral for launch and launch and the first year of in-orbit insurance are expected to be approximately $23.1 million. Further, under the terms of the Beam Sharing Agreement, the Company is appointed the sole and exclusive supplier of end-user broadband terminals and hub equipment for broadband service operated over the Loral Beams. The Company also entered into an agreement with Telesat, whereby Telesat has agreed to transfer certain orbital slot license rights to the Company for ViaSat-1 satellite operation.</w:t>
      </w:r>
    </w:p>
    <w:p>
      <w:pPr>
        <w:spacing w:after="0" w:line="80" w:lineRule="exact"/>
        <w:rPr>
          <w:sz w:val="20"/>
          <w:szCs w:val="20"/>
          <w:color w:val="auto"/>
        </w:rPr>
      </w:pPr>
    </w:p>
    <w:p>
      <w:pPr>
        <w:jc w:val="both"/>
        <w:ind w:right="460" w:firstLine="222"/>
        <w:spacing w:after="0" w:line="264" w:lineRule="auto"/>
        <w:rPr>
          <w:sz w:val="20"/>
          <w:szCs w:val="20"/>
          <w:color w:val="auto"/>
        </w:rPr>
      </w:pPr>
      <w:r>
        <w:rPr>
          <w:rFonts w:ascii="Arial" w:cs="Arial" w:eastAsia="Arial" w:hAnsi="Arial"/>
          <w:sz w:val="18"/>
          <w:szCs w:val="18"/>
          <w:color w:val="auto"/>
        </w:rPr>
        <w:t>The Company leases office facilities under non-cancelable operating leases with initial terms ranging from one to eleven years which expire between October 2008 and August 2020 and provide for pre-negotiated fixed rental rates during the terms of the lease. Certain of the Company’s facilities leases contain option provisions which allow for extension of the lease terms.</w:t>
      </w:r>
    </w:p>
    <w:p>
      <w:pPr>
        <w:spacing w:after="0" w:line="73"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For operating leases, minimum lease payments, including minimum scheduled rent increases, are recognized as rent expense on a straight line basis over the lease term as that term is defined in SFAS No. 13 (SFAS 13), as amended, including any option periods considered in the lease term and any periods during which the Company has use of the property but is not charged rent by a landlord (“rent holiday”). Leasehold improvement incentives paid to the Company by a landlord are recorded as a liability and amortized as a reduction of rent expense over the lease term. Total rent expense was $10.2 million, $8.2 million and $7.6 million in fiscal years 2008, 2007 and 2006, respectively.</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Future minimum lease payments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w:t>
            </w:r>
          </w:p>
        </w:tc>
        <w:tc>
          <w:tcPr>
            <w:tcW w:w="9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96"/>
        </w:trPr>
        <w:tc>
          <w:tcPr>
            <w:tcW w:w="1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2009</w:t>
            </w:r>
          </w:p>
        </w:tc>
        <w:tc>
          <w:tcPr>
            <w:tcW w:w="95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11,589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2010</w:t>
            </w:r>
          </w:p>
        </w:tc>
        <w:tc>
          <w:tcPr>
            <w:tcW w:w="9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13,775</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2012</w:t>
            </w:r>
          </w:p>
        </w:tc>
        <w:tc>
          <w:tcPr>
            <w:tcW w:w="9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14,409</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13,492</w:t>
            </w: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Thereafter</w:t>
            </w:r>
          </w:p>
        </w:tc>
        <w:tc>
          <w:tcPr>
            <w:tcW w:w="9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67,123</w:t>
            </w:r>
          </w:p>
        </w:tc>
        <w:tc>
          <w:tcPr>
            <w:tcW w:w="100" w:type="dxa"/>
            <w:vAlign w:val="bottom"/>
          </w:tcPr>
          <w:p>
            <w:pPr>
              <w:spacing w:after="0"/>
              <w:rPr>
                <w:sz w:val="19"/>
                <w:szCs w:val="19"/>
                <w:color w:val="auto"/>
              </w:rPr>
            </w:pPr>
          </w:p>
        </w:tc>
      </w:tr>
      <w:tr>
        <w:trPr>
          <w:trHeight w:val="216"/>
        </w:trPr>
        <w:tc>
          <w:tcPr>
            <w:tcW w:w="1220" w:type="dxa"/>
            <w:vAlign w:val="bottom"/>
            <w:shd w:val="clear" w:color="auto" w:fill="CCEEFF"/>
          </w:tcPr>
          <w:p>
            <w:pPr>
              <w:spacing w:after="0"/>
              <w:rPr>
                <w:sz w:val="18"/>
                <w:szCs w:val="18"/>
                <w:color w:val="auto"/>
              </w:rPr>
            </w:pPr>
          </w:p>
        </w:tc>
        <w:tc>
          <w:tcPr>
            <w:tcW w:w="9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135,077</w:t>
            </w:r>
          </w:p>
        </w:tc>
      </w:tr>
      <w:tr>
        <w:trPr>
          <w:trHeight w:val="20"/>
        </w:trPr>
        <w:tc>
          <w:tcPr>
            <w:tcW w:w="12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Contingencies</w:t>
      </w:r>
    </w:p>
    <w:p>
      <w:pPr>
        <w:spacing w:after="0" w:line="12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is a party to various claims and legal actions arising in the normal course of business. The ultimate outcome of such matters is not presently determinable, the Company believes that the resolution of all such matters, net of amounts accrued, will not have a material adverse effect on its financial position or liquidity; however, there can be no assurance that the ultimate resolution of these matters will not have a material impact on its results of operations in any period.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Product Warranty</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Company provides limited warranties on most of its products for periods of up to five years. The Company records a liability for its warranty obligations when products are delivered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including engineering estimates and the types of failure that may occur. It is possible that its underlying assumptions will not reflect the actual experience and in that case, future adjustments will be made to the recorded warranty obligation. The following table reflects the change in the Company’s warranty accrual in fiscal years 2008, 2007 and 2006.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Years Ended</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3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28, 2008</w:t>
            </w:r>
          </w:p>
        </w:tc>
        <w:tc>
          <w:tcPr>
            <w:tcW w:w="186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March 30, 2007</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31, 2006</w:t>
            </w:r>
          </w:p>
        </w:tc>
        <w:tc>
          <w:tcPr>
            <w:tcW w:w="10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9,863</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7,179</w:t>
            </w: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9,610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7,347</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4,309</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(7,794)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(5,853)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(3,119)</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9,863</w:t>
            </w:r>
          </w:p>
        </w:tc>
        <w:tc>
          <w:tcPr>
            <w:tcW w:w="6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8,369</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Acquisitions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Acquisition of JAST, S.A. </w:t>
      </w:r>
      <w:r>
        <w:rPr>
          <w:rFonts w:ascii="Arial" w:cs="Arial" w:eastAsia="Arial" w:hAnsi="Arial"/>
          <w:sz w:val="16"/>
          <w:szCs w:val="16"/>
          <w:color w:val="auto"/>
        </w:rPr>
        <w:t>On August 2, 2007, the Company completed the acquisition of all of the outstanding capital stock of JAST, a Switzerland based,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privately-held developer of microwave circuits and antennas for terrestrial and satellite applications, specializing in small, low-profile antennas for mobile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satellite communications. The initial purchase price of approximately $2.1 million was comprised primarily of $452,000 related to the fair value of 14,424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of the Company’s common stock issued at the closing date, $748,000 in cash consideration, the issuance of an $800,000 payable,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$125,000 in direct acquisition costs. The $748,000 in cash consideration plus approximately $125,000 in direct acquisition costs less cash acquired of $22,000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resulted in a initial net cash outlay of approximately $851,000. The remaining $800,000 is payable on the first anniversary of the closing date, of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$483,000 will be paid in cash and $317,000 will be paid in stock or cash, at the Company’s election. Under the terms of the purchase agreement, up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$4.5 million in consideration is payable in stock and/or cash, at the Company’s option, based on JAST achieving certain earnings performance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technology development targets during the two years following closing. No portion of this additional consideration is guaranteed. The additional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consideration, if earned, is payable after JAST achieves specified earnings performance and technology development targets and will be recorded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purchase price. During March 2008, goodwill was increased by $66,000 upon resolution of certain tax matters regarding the Company’s realization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operating loss carryforwards and finalization of the purchase price allocation, resulting in a total of $1.3 million in goodwill and $1.4 million in identifiable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allocation of purchase price of the acquired assets and assumed liabilities based on the estimated fair values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400" w:type="dxa"/>
            <w:vAlign w:val="bottom"/>
          </w:tcPr>
          <w:p>
            <w:pPr>
              <w:spacing w:after="0"/>
              <w:rPr>
                <w:sz w:val="16"/>
                <w:szCs w:val="16"/>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3"/>
        </w:trPr>
        <w:tc>
          <w:tcPr>
            <w:tcW w:w="1042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15"/>
        <w:spacing w:after="0" w:line="277" w:lineRule="auto"/>
        <w:rPr>
          <w:sz w:val="20"/>
          <w:szCs w:val="20"/>
          <w:color w:val="auto"/>
        </w:rPr>
      </w:pPr>
      <w:r>
        <w:rPr>
          <w:rFonts w:ascii="Arial" w:cs="Arial" w:eastAsia="Arial" w:hAnsi="Arial"/>
          <w:sz w:val="18"/>
          <w:szCs w:val="18"/>
          <w:color w:val="auto"/>
        </w:rPr>
        <w:t>Amounts assigned to other intangible assets are being amortized on a straight-line basis over their estimated useful lives ranging from two to five years and are as follows:</w:t>
      </w:r>
    </w:p>
    <w:p>
      <w:pPr>
        <w:sectPr>
          <w:pgSz w:w="11900" w:h="16838" w:orient="portrait"/>
          <w:cols w:equalWidth="0" w:num="1">
            <w:col w:w="11420"/>
          </w:cols>
          <w:pgMar w:left="240" w:top="419" w:right="23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Technology (3 year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 (5 year weighted average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Non-compete agreements (5 year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Backlog (2 year weighted average life)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jc w:val="right"/>
        <w:ind w:right="382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thousands)</w:t>
      </w:r>
    </w:p>
    <w:p>
      <w:pPr>
        <w:spacing w:after="0" w:line="23" w:lineRule="exact"/>
        <w:rPr>
          <w:sz w:val="20"/>
          <w:szCs w:val="20"/>
          <w:color w:val="auto"/>
        </w:rPr>
      </w:pPr>
    </w:p>
    <w:p>
      <w:pPr>
        <w:ind w:left="480" w:hanging="479"/>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1,122</w:t>
      </w:r>
    </w:p>
    <w:p>
      <w:pPr>
        <w:spacing w:after="0" w:line="30"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132</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156</w:t>
      </w:r>
    </w:p>
    <w:p>
      <w:pPr>
        <w:spacing w:after="0" w:line="32"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657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5" w:lineRule="exact"/>
        <w:rPr>
          <w:sz w:val="20"/>
          <w:szCs w:val="20"/>
          <w:color w:val="auto"/>
        </w:rPr>
      </w:pPr>
    </w:p>
    <w:p>
      <w:pPr>
        <w:ind w:left="480" w:hanging="479"/>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5657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46355</wp:posOffset>
            </wp:positionV>
            <wp:extent cx="5657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9700" w:space="720"/>
            <w:col w:w="1000"/>
          </w:cols>
          <w:pgMar w:left="240" w:top="41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 acquisition of JAST is beneficial to the Company because it adds complementary technologies and provides additional business opportunities, namely microwave circuits and antennas for terrestrial and satellite applications and small, low-profile antennas for mobile satellite communications. The benefit of these products can be offered to many of the Company’s consumer, enterprise or government customers. These benefits and additional opportunities were among the factors that contributed to a purchase price resulting in the recognition of goodwill which has been recorded within the commercial networks segment. The intangible assets and goodwill recognized will not be deductible for federal income tax purposes.</w:t>
      </w:r>
    </w:p>
    <w:p>
      <w:pPr>
        <w:spacing w:after="0" w:line="64" w:lineRule="exact"/>
        <w:rPr>
          <w:sz w:val="20"/>
          <w:szCs w:val="20"/>
          <w:color w:val="auto"/>
        </w:rPr>
      </w:pPr>
    </w:p>
    <w:p>
      <w:pPr>
        <w:ind w:right="100" w:firstLine="225"/>
        <w:spacing w:after="0" w:line="287" w:lineRule="auto"/>
        <w:rPr>
          <w:sz w:val="20"/>
          <w:szCs w:val="20"/>
          <w:color w:val="auto"/>
        </w:rPr>
      </w:pPr>
      <w:r>
        <w:rPr>
          <w:rFonts w:ascii="Arial" w:cs="Arial" w:eastAsia="Arial" w:hAnsi="Arial"/>
          <w:sz w:val="16"/>
          <w:szCs w:val="16"/>
          <w:i w:val="1"/>
          <w:iCs w:val="1"/>
          <w:color w:val="auto"/>
        </w:rPr>
        <w:t xml:space="preserve">Acquisition of Intelligent Compression Technologies, Inc. </w:t>
      </w:r>
      <w:r>
        <w:rPr>
          <w:rFonts w:ascii="Arial" w:cs="Arial" w:eastAsia="Arial" w:hAnsi="Arial"/>
          <w:sz w:val="16"/>
          <w:szCs w:val="16"/>
          <w:color w:val="auto"/>
        </w:rPr>
        <w:t>On February 16, 2007, the Company completed the acquisition of all of the outstanding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stock of ICT, a privately-held provider to corporations, internet service providers (ISPs), and satellite/wireless carriers of data compression techniques, advanced transport protocols, and application optimization to increase the speeds of either narrowband or broadband terrestrial, wireless, or satellite services. The initial purchase price of approximately $20.7 million was comprised primarily of $13.3 million related to the fair value of 414,073 shares of the Company’s common stock issued at the closing date, $7.2 million in cash consideration, and approximately $200,000 in direct acquisition costs. The $7.2 million in cash consideration paid to the former ICT stockholders plus approximately $200,000 in direct acquisition costs less cash acquired of $32,000 resulted in a net cash outlay of approximately $7.4 million. Under the terms of the purchase agreement, up to an additional $34.3 million in consideration is payable in cash and/or stock, at the Company’s option, based on ICT achieving certain earnings performance over certain 12-month periods during the two years following closing (as well as projected earnings performance for the one-year period thereafter). No portion of this additional consideration is guaranteed. The additional consideration, if earned, is payable after the 12-month period in which ICT achieves the specified earnings performance and will be recorded as additional purchase price. During the fourth quarter of fiscal year 2008, a $1.1 million adjustment reducing goodwill was made to the final purchase price allocation for ICT as certain tax matters were resolved regarding acquired net operating losses.</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allocation of purchase price of the acquired assets and assumed liabilities based on the estimated fair values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12,550</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11,616</w:t>
            </w: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25,967</w:t>
            </w: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Liabilities assumed</w:t>
            </w: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(5,275)</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15"/>
        <w:spacing w:after="0" w:line="277" w:lineRule="auto"/>
        <w:rPr>
          <w:sz w:val="20"/>
          <w:szCs w:val="20"/>
          <w:color w:val="auto"/>
        </w:rPr>
      </w:pPr>
      <w:r>
        <w:rPr>
          <w:rFonts w:ascii="Arial" w:cs="Arial" w:eastAsia="Arial" w:hAnsi="Arial"/>
          <w:sz w:val="18"/>
          <w:szCs w:val="18"/>
          <w:color w:val="auto"/>
        </w:rPr>
        <w:t>Amounts assigned to other intangible assets are being amortized on a straight-line basis over their estimated useful lives ranging from four to five years and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(5 year weighted average life)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Technology (5 year weighted average life)</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 (4 years weighted average life)</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Trade name (4 year weighted average life)</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12,550</w:t>
            </w:r>
          </w:p>
        </w:tc>
      </w:tr>
      <w:tr>
        <w:trPr>
          <w:trHeight w:val="20"/>
        </w:trPr>
        <w:tc>
          <w:tcPr>
            <w:tcW w:w="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acquisition of ICT is beneficial to the Company because it adds complementary technologies and provides additional business opportunities. The Company believes that the ICT AcceleNet family of products speeds web browsing and accelerates leading office applications, while simultaneously reducing network congestion. The benefit of these products can be offered to many of the Company’s consumer, enterprise, or government customers. These benefits and additional opportunities were among the factors that contributed to a purchase price resulting in the recognition of goodwill. The intangible assets and goodwill recognized will not be deductible for federal income tax purposes.</w:t>
      </w:r>
    </w:p>
    <w:p>
      <w:pPr>
        <w:spacing w:after="0" w:line="64"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consolidated financial statements include the operating results of ICT from the date of acquisition in the Company’s commercial networks segment. Pro forma results of operations have not been presented because the effect of the acquisition was insignificant to the financial statements for all periods presented.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i w:val="1"/>
          <w:iCs w:val="1"/>
          <w:color w:val="auto"/>
        </w:rPr>
        <w:t xml:space="preserve">Acquisition of Enerdyne Technologies, Inc. </w:t>
      </w:r>
      <w:r>
        <w:rPr>
          <w:rFonts w:ascii="Arial" w:cs="Arial" w:eastAsia="Arial" w:hAnsi="Arial"/>
          <w:sz w:val="17"/>
          <w:szCs w:val="17"/>
          <w:color w:val="auto"/>
        </w:rPr>
        <w:t>On June 20, 2006, the Company completed the acquisition of all of the outstanding capital stock of Enerdyne, a</w:t>
      </w:r>
      <w:r>
        <w:rPr>
          <w:rFonts w:ascii="Arial" w:cs="Arial" w:eastAsia="Arial" w:hAnsi="Arial"/>
          <w:sz w:val="17"/>
          <w:szCs w:val="17"/>
          <w:i w:val="1"/>
          <w:iCs w:val="1"/>
          <w:color w:val="auto"/>
        </w:rPr>
        <w:t xml:space="preserve"> </w:t>
      </w:r>
      <w:r>
        <w:rPr>
          <w:rFonts w:ascii="Arial" w:cs="Arial" w:eastAsia="Arial" w:hAnsi="Arial"/>
          <w:sz w:val="17"/>
          <w:szCs w:val="17"/>
          <w:color w:val="auto"/>
        </w:rPr>
        <w:t>privately-held provider of innovative data link equipment and digital video systems for defense and intelligence markets, including unmanned aerial vehicle and other airborne and ground based applications. The initial purchase price of approximately $17.5 million was comprised primarily of $16.4 million related to the fair value of 724,231 shares of the Company’s common stock issued at the closing, $500,000 in cash consideration, and $700,000 in direct acquisition costs. The $1.2 million of cash consideration paid to the former Enerdyne stockholders and the transaction expenses paid less cash acquired of $900,000 resulted in a net cash outlay of approximately $281,000. Up to an additional $8.7 million in consideration is payable in cash and stock under the terms of the acquisition agreement based on Enerdyne achieving certain earnings performance in any fiscal year up to and including the Company’s 2010 fiscal year (as well as projected earnings performance for the one-year period thereafter) and will be recorded as additional purchase price. No portion of the additional consideration is guaranteed.</w:t>
      </w:r>
    </w:p>
    <w:p>
      <w:pPr>
        <w:spacing w:after="0" w:line="74"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As of March 30, 2007, Enerdyne achieved financial results entitling the former Enerdyne stockholders to $5.9 million of additional consideration. On May 3, 2007, the Company issued 170,763 shares of common stock and $260,000 in cash in full settlement of all additional consideration provisions and the $5.9 million payable outstanding at March 30, 2007. The additional purchase price consideration of $5.9 million was recorded as additional government systems segment goodwill in the fourth quarter of fiscal year 2007. During March 2007, a $1.5 million adjustment reducing goodwill was made to the final purchase price allocation for Enerdyne as certain tax matters were resolved regarding utilization of Enerdyne’s net operating losses as tax deductions in the future resulting in deferred tax assets being recorded.</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allocation of purchase price of the acquired assets and assumed liabilities based on the estimated fair values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3,543</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6,570</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16,332</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(4,666)</w:t>
            </w:r>
          </w:p>
        </w:tc>
      </w:tr>
      <w:tr>
        <w:trPr>
          <w:trHeight w:val="223"/>
        </w:trPr>
        <w:tc>
          <w:tcPr>
            <w:tcW w:w="1042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215"/>
        <w:spacing w:after="0" w:line="277" w:lineRule="auto"/>
        <w:rPr>
          <w:sz w:val="20"/>
          <w:szCs w:val="20"/>
          <w:color w:val="auto"/>
        </w:rPr>
      </w:pPr>
      <w:r>
        <w:rPr>
          <w:rFonts w:ascii="Arial" w:cs="Arial" w:eastAsia="Arial" w:hAnsi="Arial"/>
          <w:sz w:val="18"/>
          <w:szCs w:val="18"/>
          <w:color w:val="auto"/>
        </w:rPr>
        <w:t>Amounts assigned to other intangible assets are being amortized on a straight-line basis over their estimated useful lives ranging from eight months to seven years and are as follows:</w:t>
      </w:r>
    </w:p>
    <w:p>
      <w:pPr>
        <w:sectPr>
          <w:pgSz w:w="11900" w:h="16838" w:orient="portrait"/>
          <w:cols w:equalWidth="0" w:num="1">
            <w:col w:w="11420"/>
          </w:cols>
          <w:pgMar w:left="240" w:top="419" w:right="23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Customer relationships (7 year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Technology (4.5 year weighted average life)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Non-compete agreements (4 years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Backlog (8 months weighted average life)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thousands)</w:t>
      </w:r>
    </w:p>
    <w:p>
      <w:pPr>
        <w:spacing w:after="0" w:line="23" w:lineRule="exact"/>
        <w:rPr>
          <w:sz w:val="20"/>
          <w:szCs w:val="20"/>
          <w:color w:val="auto"/>
        </w:rPr>
      </w:pPr>
    </w:p>
    <w:p>
      <w:pPr>
        <w:ind w:left="480" w:hanging="479"/>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2,400</w:t>
      </w:r>
    </w:p>
    <w:p>
      <w:pPr>
        <w:spacing w:after="0" w:line="30"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2,600</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420</w:t>
      </w:r>
    </w:p>
    <w:p>
      <w:pPr>
        <w:spacing w:after="0" w:line="32"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1,150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657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5" w:lineRule="exact"/>
        <w:rPr>
          <w:sz w:val="20"/>
          <w:szCs w:val="20"/>
          <w:color w:val="auto"/>
        </w:rPr>
      </w:pPr>
    </w:p>
    <w:p>
      <w:pPr>
        <w:ind w:left="480" w:hanging="479"/>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6,570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5657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46355</wp:posOffset>
            </wp:positionV>
            <wp:extent cx="5657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9700" w:space="720"/>
            <w:col w:w="1000"/>
          </w:cols>
          <w:pgMar w:left="240" w:top="419" w:right="239" w:bottom="1440" w:gutter="0" w:footer="0" w:header="0"/>
          <w:type w:val="continuous"/>
        </w:sectPr>
      </w:pPr>
    </w:p>
    <w:p>
      <w:pPr>
        <w:ind w:right="100" w:firstLine="222"/>
        <w:spacing w:after="0" w:line="257" w:lineRule="auto"/>
        <w:rPr>
          <w:sz w:val="20"/>
          <w:szCs w:val="20"/>
          <w:color w:val="auto"/>
        </w:rPr>
      </w:pPr>
      <w:r>
        <w:rPr>
          <w:rFonts w:ascii="Arial" w:cs="Arial" w:eastAsia="Arial" w:hAnsi="Arial"/>
          <w:sz w:val="18"/>
          <w:szCs w:val="18"/>
          <w:color w:val="auto"/>
        </w:rPr>
        <w:t>The acquisition of Enerdyne is complementary to the Company because the Company will benefit from Enerdyne’s technology, namely unmanned analog and digital video data link capabilities, existing relationships in the unmanned aerial vehicle (UAV) market, customers and highly skilled workforce. The potential opportunities these benefits provide to the Company’s UAV applications product group in its government systems segment were among the factors that contributed to a purchase price resulting in the recognition of goodwill. The intangible assets and goodwill recognized will not be deductible for federal income tax purposes.</w:t>
      </w:r>
    </w:p>
    <w:p>
      <w:pPr>
        <w:spacing w:after="0" w:line="80"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consolidated financial statements include the operating results of Enerdyne from the date of acquisition in the Company’s UAV applications product line in the government systems segment. Pro forma results of operations have not been presented because the effect of the acquisition was insignificant to the financial statements for all periods presented.</w:t>
      </w:r>
    </w:p>
    <w:p>
      <w:pPr>
        <w:spacing w:after="0" w:line="73"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i w:val="1"/>
          <w:iCs w:val="1"/>
          <w:color w:val="auto"/>
        </w:rPr>
        <w:t xml:space="preserve">Acquisition of Efficient Channel Coding, Inc. </w:t>
      </w:r>
      <w:r>
        <w:rPr>
          <w:rFonts w:ascii="Arial" w:cs="Arial" w:eastAsia="Arial" w:hAnsi="Arial"/>
          <w:sz w:val="17"/>
          <w:szCs w:val="17"/>
          <w:color w:val="auto"/>
        </w:rPr>
        <w:t>On December 1, 2005, the Company completed the acquisition of all of the outstanding capital stock of</w:t>
      </w:r>
      <w:r>
        <w:rPr>
          <w:rFonts w:ascii="Arial" w:cs="Arial" w:eastAsia="Arial" w:hAnsi="Arial"/>
          <w:sz w:val="17"/>
          <w:szCs w:val="17"/>
          <w:i w:val="1"/>
          <w:iCs w:val="1"/>
          <w:color w:val="auto"/>
        </w:rPr>
        <w:t xml:space="preserve"> </w:t>
      </w:r>
      <w:r>
        <w:rPr>
          <w:rFonts w:ascii="Arial" w:cs="Arial" w:eastAsia="Arial" w:hAnsi="Arial"/>
          <w:sz w:val="17"/>
          <w:szCs w:val="17"/>
          <w:color w:val="auto"/>
        </w:rPr>
        <w:t>ECC, a privately-held designer and supplier of broadband communication integrated circuits and satellite communication systems. The initial purchase price of approximately $16.6 million was comprised primarily of $15.8 million in cash consideration, $227,000 in direct acquisition costs and $525,000 related to the fair value of options exchanged at the closing date. The $16.1 million of cash consideration less cash acquired of approximately $70,000 resulted in a net cash outlay of approximately $16.0 million. Up to an additional $9.0 million in consideration is payable in cash and/or stock at the Company’s option on or prior to the eighteen (18) month anniversary of the closing date based on ECC meeting certain financial performance targets.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May 23, 2006, the Company agreed to pay the maximum additional consideration amount to the former ECC stockholders in the amount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$9.0 million which has been accrued as of March 30, 2007. The $9.0 million was payable in cash or stock, at the Company’s option, in May 2007.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purchase price consideration of $9.0 million was recorded as additional goodwill in the commercial networks segment in the first quarter of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2007.</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allocation of purchase price of the acquired assets and assumed liabilities based on the estimated fair values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w:t>
            </w: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17,641</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23"/>
        </w:trPr>
        <w:tc>
          <w:tcPr>
            <w:tcW w:w="20" w:type="dxa"/>
            <w:vAlign w:val="bottom"/>
          </w:tcPr>
          <w:p>
            <w:pPr>
              <w:spacing w:after="0"/>
              <w:rPr>
                <w:sz w:val="19"/>
                <w:szCs w:val="19"/>
                <w:color w:val="auto"/>
              </w:rPr>
            </w:pPr>
          </w:p>
        </w:tc>
        <w:tc>
          <w:tcPr>
            <w:tcW w:w="1040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(3,016)</w:t>
            </w: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r>
      <w:tr>
        <w:trPr>
          <w:trHeight w:val="27"/>
        </w:trPr>
        <w:tc>
          <w:tcPr>
            <w:tcW w:w="20" w:type="dxa"/>
            <w:vAlign w:val="bottom"/>
          </w:tcPr>
          <w:p>
            <w:pPr>
              <w:spacing w:after="0"/>
              <w:rPr>
                <w:sz w:val="2"/>
                <w:szCs w:val="2"/>
                <w:color w:val="auto"/>
              </w:rPr>
            </w:pPr>
          </w:p>
        </w:tc>
        <w:tc>
          <w:tcPr>
            <w:tcW w:w="10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assumed</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(3,869)</w:t>
            </w: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Deferred stock-based compensation</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25,589</w:t>
            </w:r>
          </w:p>
        </w:tc>
      </w:tr>
      <w:tr>
        <w:trPr>
          <w:trHeight w:val="20"/>
        </w:trPr>
        <w:tc>
          <w:tcPr>
            <w:tcW w:w="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Company issued 23,424 unvested incentive stock options under the Efficient Channel Coding, Inc. 2000 Long Term Incentive Plan assumed under the terms of the acquisition agreement. In accordance with SFAS No. 141, the Company recorded $291,000 in deferred stock-based compensation which will be amortized to compensation expense over the remaining service period.</w:t>
      </w:r>
    </w:p>
    <w:p>
      <w:pPr>
        <w:spacing w:after="0" w:line="73"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Amounts assigned to other intangible assets are being amortized on a straight-line basis over their estimated useful lives ranging from one to ten years and are as follows:</w:t>
      </w:r>
    </w:p>
    <w:p>
      <w:pPr>
        <w:sectPr>
          <w:pgSz w:w="11900" w:h="16838" w:orient="portrait"/>
          <w:cols w:equalWidth="0" w:num="1">
            <w:col w:w="11420"/>
          </w:cols>
          <w:pgMar w:left="240" w:top="419" w:right="23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Customer relationships (10 year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Technology (6 year weighted average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Backlog (1 year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identifiable intangible assets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thousands)</w:t>
      </w:r>
    </w:p>
    <w:p>
      <w:pPr>
        <w:spacing w:after="0" w:line="23" w:lineRule="exact"/>
        <w:rPr>
          <w:sz w:val="20"/>
          <w:szCs w:val="20"/>
          <w:color w:val="auto"/>
        </w:rPr>
      </w:pPr>
    </w:p>
    <w:p>
      <w:pPr>
        <w:ind w:left="480" w:hanging="479"/>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5,700</w:t>
      </w:r>
    </w:p>
    <w:p>
      <w:pPr>
        <w:spacing w:after="0" w:line="30"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2,900</w:t>
      </w:r>
    </w:p>
    <w:p>
      <w:pPr>
        <w:spacing w:after="0" w:line="32"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657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5" w:lineRule="exact"/>
        <w:rPr>
          <w:sz w:val="20"/>
          <w:szCs w:val="20"/>
          <w:color w:val="auto"/>
        </w:rPr>
      </w:pPr>
    </w:p>
    <w:p>
      <w:pPr>
        <w:ind w:left="480" w:hanging="479"/>
        <w:spacing w:after="0"/>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9,800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5657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46355</wp:posOffset>
            </wp:positionV>
            <wp:extent cx="5657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9700" w:space="720"/>
            <w:col w:w="1000"/>
          </w:cols>
          <w:pgMar w:left="240" w:top="419" w:right="239" w:bottom="1440" w:gutter="0" w:footer="0" w:header="0"/>
          <w:type w:val="continuous"/>
        </w:sectPr>
      </w:pPr>
    </w:p>
    <w:p>
      <w:pPr>
        <w:ind w:right="140" w:firstLine="222"/>
        <w:spacing w:after="0" w:line="259" w:lineRule="auto"/>
        <w:rPr>
          <w:sz w:val="20"/>
          <w:szCs w:val="20"/>
          <w:color w:val="auto"/>
        </w:rPr>
      </w:pPr>
      <w:r>
        <w:rPr>
          <w:rFonts w:ascii="Arial" w:cs="Arial" w:eastAsia="Arial" w:hAnsi="Arial"/>
          <w:sz w:val="18"/>
          <w:szCs w:val="18"/>
          <w:color w:val="auto"/>
        </w:rPr>
        <w:t>The acquisition of ECC is complementary to the Company because the Company will benefit from ECC’s technology, namely DVB-S2 and ASIC design capabilities, customers and highly skilled workforce. The potential opportunities these benefits provide to ViaSat’s Satellite Networks product group in the commercial networks segment were among the factors that contributed to a purchase price resulting in the recognition of goodwill. The intangible assets and goodwill recognized will be deductible for federal income tax purposes.</w:t>
      </w:r>
    </w:p>
    <w:p>
      <w:pPr>
        <w:spacing w:after="0" w:line="79"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consolidated financial statements include the operating results of ECC from the date of acquisition in the Company’s commercial networks segment. Pro forma results of operations have not been presented because the effect of the acquisition was insignificant to the financial statements for all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21" w:lineRule="exact"/>
        <w:rPr>
          <w:sz w:val="20"/>
          <w:szCs w:val="20"/>
          <w:color w:val="auto"/>
        </w:rPr>
      </w:pPr>
    </w:p>
    <w:p>
      <w:pPr>
        <w:ind w:right="220" w:firstLine="222"/>
        <w:spacing w:after="0" w:line="288" w:lineRule="auto"/>
        <w:rPr>
          <w:sz w:val="20"/>
          <w:szCs w:val="20"/>
          <w:color w:val="auto"/>
        </w:rPr>
      </w:pPr>
      <w:r>
        <w:rPr>
          <w:rFonts w:ascii="Arial" w:cs="Arial" w:eastAsia="Arial" w:hAnsi="Arial"/>
          <w:sz w:val="16"/>
          <w:szCs w:val="16"/>
          <w:color w:val="auto"/>
        </w:rPr>
        <w:t>The Company’s government systems, commercial networks and satellite services segments are primarily distinguished by the type of customer and the related contractual requirements. The more regulated government environment is subject to unique contractual requirements and possesses economic characteristics which differ from the commercial networks and satellite services segment. During the third and fourth quarter of fiscal year 2008, the Company made management and organization structure changes due to a shift in product marketing and development strategies and consequently realigned the way management organizes and evaluates financial information internally for making operating decisions and assessing performance. The Company’s satellite services segment is primarily comprised of its ViaSat-1 satellite, mobile broadband and enterprise VSAT services businesses. The Company’s commercial networks segment comprises its former satellite networks and antenna systems segments, except for the satellite services segment. The Company’s reporting segments, including the government systems, commercial networks and satellite services are determined consistent with the way management currently organizes and evaluates financial information internally for making operating decisions and assessing performance. The following segment information, including prior periods, recasts this new organizational and reporting structure: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8"/>
              </w:rPr>
              <w:t>Years Ended</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28, 2008</w:t>
            </w:r>
          </w:p>
        </w:tc>
        <w:tc>
          <w:tcPr>
            <w:tcW w:w="186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March 30, 2007</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31, 2006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25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319,538</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278,352</w:t>
            </w:r>
          </w:p>
        </w:tc>
        <w:tc>
          <w:tcPr>
            <w:tcW w:w="6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218,394</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248,297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231,526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216,473</w:t>
            </w: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6,815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6,688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5,229</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(6,273)</w:t>
            </w: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574,650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516,566</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433,823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25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45,793</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42,795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43,450</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(3,401)</w:t>
            </w: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(2,851)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(1,699)</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(1,065)</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(3,061)</w:t>
            </w: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2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45,375</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23"/>
        </w:trPr>
        <w:tc>
          <w:tcPr>
            <w:tcW w:w="20" w:type="dxa"/>
            <w:vAlign w:val="bottom"/>
          </w:tcPr>
          <w:p>
            <w:pPr>
              <w:spacing w:after="0"/>
              <w:rPr>
                <w:sz w:val="19"/>
                <w:szCs w:val="19"/>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(9,562)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(9,502)</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(6,806)</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35,445</w:t>
            </w: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520" w:type="dxa"/>
            <w:vAlign w:val="bottom"/>
            <w:gridSpan w:val="2"/>
          </w:tcPr>
          <w:p>
            <w:pPr>
              <w:ind w:left="620"/>
              <w:spacing w:after="0"/>
              <w:rPr>
                <w:sz w:val="20"/>
                <w:szCs w:val="20"/>
                <w:color w:val="auto"/>
              </w:rPr>
            </w:pPr>
            <w:r>
              <w:rPr>
                <w:rFonts w:ascii="Arial" w:cs="Arial" w:eastAsia="Arial" w:hAnsi="Arial"/>
                <w:sz w:val="18"/>
                <w:szCs w:val="18"/>
                <w:color w:val="auto"/>
              </w:rPr>
              <w:t>F-32</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acquired intangibles by segment for the fiscal years ended March 28, 2008, March 30, 2007 and March 31, 2006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28, 2008</w:t>
            </w:r>
          </w:p>
        </w:tc>
        <w:tc>
          <w:tcPr>
            <w:tcW w:w="32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30, 2007</w:t>
            </w:r>
          </w:p>
        </w:tc>
        <w:tc>
          <w:tcPr>
            <w:tcW w:w="62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31, 2006</w:t>
            </w:r>
          </w:p>
        </w:tc>
        <w:tc>
          <w:tcPr>
            <w:tcW w:w="100" w:type="dxa"/>
            <w:vAlign w:val="bottom"/>
          </w:tcPr>
          <w:p>
            <w:pPr>
              <w:spacing w:after="0"/>
              <w:rPr>
                <w:sz w:val="14"/>
                <w:szCs w:val="14"/>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Commercial Networks</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8,475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7,493</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6,786</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 amortization of intangibles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9,502</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Assets identifiable to segments include: accounts receivable, unbilled accounts receivable, inventory, intangible assets and goodwill. Segment assets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28, 2008 and March 30, 2007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30, 2007</w:t>
            </w: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Government Systems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139,979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114,625</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Networks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166,858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170,028</w:t>
            </w:r>
          </w:p>
        </w:tc>
      </w:tr>
      <w:tr>
        <w:trPr>
          <w:trHeight w:val="223"/>
        </w:trPr>
        <w:tc>
          <w:tcPr>
            <w:tcW w:w="20" w:type="dxa"/>
            <w:vAlign w:val="bottom"/>
          </w:tcPr>
          <w:p>
            <w:pPr>
              <w:spacing w:after="0"/>
              <w:rPr>
                <w:sz w:val="19"/>
                <w:szCs w:val="19"/>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Satellite Services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307,853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285,855</w:t>
            </w:r>
          </w:p>
        </w:tc>
      </w:tr>
      <w:tr>
        <w:trPr>
          <w:trHeight w:val="223"/>
        </w:trPr>
        <w:tc>
          <w:tcPr>
            <w:tcW w:w="20" w:type="dxa"/>
            <w:vAlign w:val="bottom"/>
          </w:tcPr>
          <w:p>
            <w:pPr>
              <w:spacing w:after="0"/>
              <w:rPr>
                <w:sz w:val="19"/>
                <w:szCs w:val="19"/>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Corporate assets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243,241</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551,094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483,939</w:t>
            </w: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management and organization structure changes in the third and fourth quarter of fiscal year 2008 resulted in reclassifications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$5.9 million of goodwill and $345,000 of net intangible assets from the Commercial Networks segment to the Government Systems segment as of March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Net intangible assets and goodwill included in segment assets as of March 28, 2008 and March 30, 2007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2"/>
              </w:rPr>
              <w:t>Net intangible assets</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Goodwill</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March 28, 2008</w:t>
            </w:r>
          </w:p>
        </w:tc>
        <w:tc>
          <w:tcPr>
            <w:tcW w:w="600" w:type="dxa"/>
            <w:vAlign w:val="bottom"/>
            <w:gridSpan w:val="2"/>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March 30, 2007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March 28, 2008</w:t>
            </w:r>
          </w:p>
        </w:tc>
        <w:tc>
          <w:tcPr>
            <w:tcW w:w="58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4,967</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22,191</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21,993</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21,597</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28,634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44,216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43,995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25,477</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33,601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66,407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information by geographic area for the fiscal years ended March 28, 2008, March 30, 2007 and March 31, 2006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2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28, 2008</w:t>
            </w:r>
          </w:p>
        </w:tc>
        <w:tc>
          <w:tcPr>
            <w:tcW w:w="188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March 30, 2007</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31, 2006</w:t>
            </w:r>
          </w:p>
        </w:tc>
        <w:tc>
          <w:tcPr>
            <w:tcW w:w="10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472,151</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434,458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355,459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40,472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33,930</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28,003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27,745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21,927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28,638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16,706</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16,787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5,719</w:t>
            </w:r>
          </w:p>
        </w:tc>
      </w:tr>
      <w:tr>
        <w:trPr>
          <w:trHeight w:val="223"/>
        </w:trPr>
        <w:tc>
          <w:tcPr>
            <w:tcW w:w="7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574,650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516,566</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433,823</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areas based on customer location.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net book value of long-lived assets located outside the United States was $392,000 and $313,000 at March 28, 2008 and March 30, 2007,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Certain Relationships and Related-Party Transactions</w:t>
      </w:r>
    </w:p>
    <w:p>
      <w:pPr>
        <w:spacing w:after="0" w:line="121"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January 2008, the Company entered into several agreements with Space Systems/Loral (SS/L), Loral Space &amp; Communications (Loral) and Telesat Canada (Telesat) related to the Company’s high capacity satellite system. Under the satellite construction contract with SS/L, the Company will purchase a Ka-band satellite (ViaSat-1) for approximately $209.1 million, subject to purchase price adjustments based on satellite performance. The Company does not believe the purchase price paid by ViaSat to SS/L for the ViaSat-1 satellite will materially change. In addition, the Company entered into a beam sharing agreement with Loral (“Beam Sharing Agreement”), whereby Loral is responsible for contributing 15% of the total costs (estimated at approximately $60 million) associated with the ViaSat-1 satellite project.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the parent of Space Systems/Loral, Inc. and as of October 31, 2007 serves on the board of directors of a newly formed entity, Telesat. John Stenbit, a director of the Company since August 2004, also currently serves on the board of directors of Loral Space &amp; Communications, Inc. The purchase of the ViaSat-1 satellite by the Company from SS/L was approved by the disinterested members of the Company’s Board of Directors.</w:t>
      </w:r>
    </w:p>
    <w:p>
      <w:pPr>
        <w:spacing w:after="0" w:line="80" w:lineRule="exact"/>
        <w:rPr>
          <w:sz w:val="20"/>
          <w:szCs w:val="20"/>
          <w:color w:val="auto"/>
        </w:rPr>
      </w:pPr>
    </w:p>
    <w:p>
      <w:pPr>
        <w:ind w:right="40" w:firstLine="215"/>
        <w:spacing w:after="0" w:line="342" w:lineRule="auto"/>
        <w:rPr>
          <w:sz w:val="20"/>
          <w:szCs w:val="20"/>
          <w:color w:val="auto"/>
        </w:rPr>
      </w:pPr>
      <w:r>
        <w:rPr>
          <w:rFonts w:ascii="Arial" w:cs="Arial" w:eastAsia="Arial" w:hAnsi="Arial"/>
          <w:sz w:val="16"/>
          <w:szCs w:val="16"/>
          <w:color w:val="auto"/>
        </w:rPr>
        <w:t>As of March 28, 2008, related to the construction of the Company’s high capacity satellite system, the Company paid $3.8 million to Space Systems/Loral and had an outstanding payable of $3.8 million. There was no outstanding payable related to Space Systems/Loral as of March 30, 2007.</w:t>
      </w:r>
    </w:p>
    <w:p>
      <w:pPr>
        <w:spacing w:after="0" w:line="16"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 xml:space="preserve">On October 31, 2007, Canada’s Public Sector Pension Investment Board (PSP) and Loral Space &amp; Communications Inc., through a newly formed entity, Telesat, completed the acquisition of 100% of the common shares of Telesat Canada, a ViaSat customer, from BCE Inc. Loral and PSP hold an economic interest in Telesat of 64% and 36%, respectively, and a voting interest of 33 </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and 66 </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respectively. In connection with this transaction, Michael Targoff became a director on the board of the newly formed entity, Telesat.</w:t>
      </w:r>
    </w:p>
    <w:p>
      <w:pPr>
        <w:spacing w:after="0" w:line="79"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In the normal course of business, the Company recognized $11.1 million, $9.7 million and $9.9 million of revenue related to Telesat and Telesat Canada combined for the fiscal years ended March 28, 2008, March 30, 2007 and March 31, 2006, respectively. Accounts receivable to the Telesat and Telesat Canada combined as of March 28, 2008 and March 30, 2007 were $3.1 million and $4.6 million, respectively.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660" w:type="dxa"/>
            <w:vAlign w:val="bottom"/>
            <w:gridSpan w:val="5"/>
          </w:tcPr>
          <w:p>
            <w:pPr>
              <w:jc w:val="center"/>
              <w:ind w:right="1801"/>
              <w:spacing w:after="0"/>
              <w:rPr>
                <w:sz w:val="20"/>
                <w:szCs w:val="20"/>
                <w:color w:val="auto"/>
              </w:rPr>
            </w:pPr>
            <w:r>
              <w:rPr>
                <w:rFonts w:ascii="Arial" w:cs="Arial" w:eastAsia="Arial" w:hAnsi="Arial"/>
                <w:sz w:val="18"/>
                <w:szCs w:val="18"/>
                <w:b w:val="1"/>
                <w:bCs w:val="1"/>
                <w:color w:val="auto"/>
              </w:rPr>
              <w:t>VALUATION AND QUALIFYING ACCOUNTS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660" w:type="dxa"/>
            <w:vAlign w:val="bottom"/>
            <w:gridSpan w:val="5"/>
          </w:tcPr>
          <w:p>
            <w:pPr>
              <w:jc w:val="center"/>
              <w:ind w:right="1781"/>
              <w:spacing w:after="0"/>
              <w:rPr>
                <w:sz w:val="20"/>
                <w:szCs w:val="20"/>
                <w:color w:val="auto"/>
              </w:rPr>
            </w:pPr>
            <w:r>
              <w:rPr>
                <w:rFonts w:ascii="Arial" w:cs="Arial" w:eastAsia="Arial" w:hAnsi="Arial"/>
                <w:sz w:val="18"/>
                <w:szCs w:val="18"/>
                <w:b w:val="1"/>
                <w:bCs w:val="1"/>
                <w:color w:val="auto"/>
                <w:w w:val="91"/>
              </w:rPr>
              <w:t>For the Three Years Ended March 28, 2008</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6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5"/>
          </w:tcPr>
          <w:p>
            <w:pPr>
              <w:ind w:left="140"/>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w w:val="98"/>
              </w:rPr>
              <w:t>Doubtful Accounts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auto"/>
            </w:tcBorders>
          </w:tcPr>
          <w:p>
            <w:pPr>
              <w:spacing w:after="0"/>
              <w:rPr>
                <w:sz w:val="12"/>
                <w:szCs w:val="12"/>
                <w:color w:val="auto"/>
              </w:rPr>
            </w:pPr>
          </w:p>
        </w:tc>
        <w:tc>
          <w:tcPr>
            <w:tcW w:w="6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Borders>
              <w:top w:val="single" w:sz="8" w:color="auto"/>
            </w:tcBorders>
            <w:gridSpan w:val="3"/>
          </w:tcPr>
          <w:p>
            <w:pPr>
              <w:jc w:val="right"/>
              <w:ind w:right="51"/>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April 1, 2005</w:t>
            </w:r>
          </w:p>
        </w:tc>
        <w:tc>
          <w:tcPr>
            <w:tcW w:w="7540" w:type="dxa"/>
            <w:vAlign w:val="bottom"/>
            <w:gridSpan w:val="4"/>
            <w:shd w:val="clear" w:color="auto" w:fill="CCEEFF"/>
          </w:tcPr>
          <w:p>
            <w:pPr>
              <w:ind w:left="7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8"/>
                <w:szCs w:val="18"/>
                <w:color w:val="auto"/>
              </w:rPr>
              <w:t>Balance, March 31, 2006</w:t>
            </w:r>
          </w:p>
        </w:tc>
        <w:tc>
          <w:tcPr>
            <w:tcW w:w="69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30, 2007</w:t>
            </w:r>
          </w:p>
        </w:tc>
        <w:tc>
          <w:tcPr>
            <w:tcW w:w="7340" w:type="dxa"/>
            <w:vAlign w:val="bottom"/>
            <w:gridSpan w:val="3"/>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8"/>
                <w:szCs w:val="18"/>
                <w:color w:val="auto"/>
              </w:rPr>
              <w:t>Balance, March 28, 2008</w:t>
            </w:r>
          </w:p>
        </w:tc>
        <w:tc>
          <w:tcPr>
            <w:tcW w:w="69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Deferred Tax</w:t>
            </w: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6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Asset Valuation</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auto"/>
            </w:tcBorders>
          </w:tcPr>
          <w:p>
            <w:pPr>
              <w:spacing w:after="0"/>
              <w:rPr>
                <w:sz w:val="12"/>
                <w:szCs w:val="12"/>
                <w:color w:val="auto"/>
              </w:rPr>
            </w:pPr>
          </w:p>
        </w:tc>
        <w:tc>
          <w:tcPr>
            <w:tcW w:w="6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April 1, 2005</w:t>
            </w:r>
          </w:p>
        </w:tc>
        <w:tc>
          <w:tcPr>
            <w:tcW w:w="7660" w:type="dxa"/>
            <w:vAlign w:val="bottom"/>
            <w:gridSpan w:val="5"/>
            <w:shd w:val="clear" w:color="auto" w:fill="CCEEFF"/>
          </w:tcPr>
          <w:p>
            <w:pPr>
              <w:ind w:left="7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8"/>
                <w:szCs w:val="18"/>
                <w:color w:val="auto"/>
              </w:rPr>
              <w:t>Balance, March 31, 2006</w:t>
            </w:r>
          </w:p>
        </w:tc>
        <w:tc>
          <w:tcPr>
            <w:tcW w:w="7540" w:type="dxa"/>
            <w:vAlign w:val="bottom"/>
            <w:gridSpan w:val="4"/>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30, 2007</w:t>
            </w:r>
          </w:p>
        </w:tc>
        <w:tc>
          <w:tcPr>
            <w:tcW w:w="7660" w:type="dxa"/>
            <w:vAlign w:val="bottom"/>
            <w:gridSpan w:val="5"/>
            <w:shd w:val="clear" w:color="auto" w:fill="CCEEFF"/>
          </w:tcPr>
          <w:p>
            <w:pPr>
              <w:ind w:left="7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8"/>
                <w:szCs w:val="18"/>
                <w:color w:val="auto"/>
              </w:rPr>
              <w:t>Balance, March 28, 2008</w:t>
            </w:r>
          </w:p>
        </w:tc>
        <w:tc>
          <w:tcPr>
            <w:tcW w:w="7540" w:type="dxa"/>
            <w:vAlign w:val="bottom"/>
            <w:gridSpan w:val="4"/>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19"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10.11</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w:t>
      </w:r>
    </w:p>
    <w:p>
      <w:pPr>
        <w:jc w:val="center"/>
        <w:spacing w:after="0"/>
        <w:rPr>
          <w:sz w:val="20"/>
          <w:szCs w:val="20"/>
          <w:color w:val="auto"/>
        </w:rPr>
      </w:pPr>
      <w:r>
        <w:rPr>
          <w:rFonts w:ascii="Arial" w:cs="Arial" w:eastAsia="Arial" w:hAnsi="Arial"/>
          <w:sz w:val="18"/>
          <w:szCs w:val="18"/>
          <w:u w:val="single" w:color="auto"/>
          <w:color w:val="auto"/>
        </w:rPr>
        <w:t>TO SECOND AMENDED AND RESTATED REVOLVING LOAN AGREEMENT</w:t>
      </w:r>
    </w:p>
    <w:p>
      <w:pPr>
        <w:spacing w:after="0" w:line="104" w:lineRule="exact"/>
        <w:rPr>
          <w:sz w:val="20"/>
          <w:szCs w:val="20"/>
          <w:color w:val="auto"/>
        </w:rPr>
      </w:pPr>
    </w:p>
    <w:p>
      <w:pPr>
        <w:ind w:right="80" w:firstLine="247"/>
        <w:spacing w:after="0" w:line="238" w:lineRule="auto"/>
        <w:rPr>
          <w:sz w:val="20"/>
          <w:szCs w:val="20"/>
          <w:color w:val="auto"/>
        </w:rPr>
      </w:pPr>
      <w:r>
        <w:rPr>
          <w:rFonts w:ascii="Arial" w:cs="Arial" w:eastAsia="Arial" w:hAnsi="Arial"/>
          <w:sz w:val="18"/>
          <w:szCs w:val="18"/>
          <w:color w:val="auto"/>
        </w:rPr>
        <w:t>This Third Amendment to Second Amended and Restated Revolving Loan Agreement (this “Amendment”) is entered into as of April 24, 2008, by and between ViaSat, Inc., a Delaware corporation (“Borrower”), each lender from time to time party to the Credit Agreement (as defined below) (collectively, the “Lenders” and individually, a “Lender”), UNION BANK OF CALIFORNIA, N.A., as Administrative Agent (in such capacity, “Administrative Agent”) and COMERICA BANK, as Collateral Agent (in such capacity, “Collateral Agent;” collectively with Administrative Agent, the “Agents”).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04"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Borrower, Agents and the Lenders are parties to that certain Second Amended and Restated Revolving Loan Agreement dated as of January 31, 2005, as amended from time to time, including by that certain First Amendment to Second Amended and Restated Revolving Loan Agreement dated as of December 22, 2006 and that certain Second Amendment to Second Amended and Restated Revolving Loan Agreement dated as of January 25, 2008 (collectively, the “Credit Agreement”). The parties desire to amend the Credit Agreement in accordance with the terms of this Amendment. Unless otherwise defined, all initially capitalized terms in this Amendment shall be as defined in the Credit Agreement.</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NOW, THEREFORE, the parties agree as follows:</w:t>
      </w:r>
    </w:p>
    <w:p>
      <w:pPr>
        <w:spacing w:after="0" w:line="104" w:lineRule="exact"/>
        <w:rPr>
          <w:sz w:val="20"/>
          <w:szCs w:val="20"/>
          <w:color w:val="auto"/>
        </w:rPr>
      </w:pPr>
    </w:p>
    <w:p>
      <w:pPr>
        <w:ind w:left="400" w:right="2680" w:hanging="142"/>
        <w:spacing w:after="0" w:line="360" w:lineRule="auto"/>
        <w:tabs>
          <w:tab w:leader="none" w:pos="4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defined term in Section 1.1 of the Credit Agreement hereby is amended to read as follows: “</w:t>
      </w:r>
      <w:r>
        <w:rPr>
          <w:rFonts w:ascii="Arial" w:cs="Arial" w:eastAsia="Arial" w:hAnsi="Arial"/>
          <w:sz w:val="18"/>
          <w:szCs w:val="18"/>
          <w:u w:val="single" w:color="auto"/>
          <w:color w:val="auto"/>
        </w:rPr>
        <w:t>Revolving Loan Maturity Date</w:t>
      </w:r>
      <w:r>
        <w:rPr>
          <w:rFonts w:ascii="Arial" w:cs="Arial" w:eastAsia="Arial" w:hAnsi="Arial"/>
          <w:sz w:val="18"/>
          <w:szCs w:val="18"/>
          <w:color w:val="auto"/>
        </w:rPr>
        <w:t>” means July 31, 2008.</w:t>
      </w:r>
    </w:p>
    <w:p>
      <w:pPr>
        <w:ind w:right="200" w:firstLine="258"/>
        <w:spacing w:after="0" w:line="238" w:lineRule="auto"/>
        <w:tabs>
          <w:tab w:leader="none" w:pos="4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course of dealing on the part of Lenders, Agents or their officers, nor any failure or delay in the exercise of any right by any Agent or any Lender, shall operate as a waiver thereof, and any single or partial exercise of any such right shall not preclude any later exercise of any such right. Agents’ or Lenders’ failure at any time to require strict performance by Borrower of any provision of any Loan Document shall not affect any right of Lenders or Agents thereafter to demand strict compliance and performance. Any suspension or waiver of a right must be in writing signed by an officer of Administrative Agent, in accordance with the terms of the Credit Agreement.</w:t>
      </w:r>
    </w:p>
    <w:p>
      <w:pPr>
        <w:spacing w:after="0" w:line="94" w:lineRule="exact"/>
        <w:rPr>
          <w:rFonts w:ascii="Arial" w:cs="Arial" w:eastAsia="Arial" w:hAnsi="Arial"/>
          <w:sz w:val="18"/>
          <w:szCs w:val="18"/>
          <w:color w:val="auto"/>
        </w:rPr>
      </w:pPr>
    </w:p>
    <w:p>
      <w:pPr>
        <w:ind w:right="600" w:firstLine="258"/>
        <w:spacing w:after="0" w:line="239" w:lineRule="auto"/>
        <w:tabs>
          <w:tab w:leader="none" w:pos="4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Credit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Agents or Lenders under the Credit Agreement, as in effect prior to the date hereof.</w:t>
      </w:r>
    </w:p>
    <w:p>
      <w:pPr>
        <w:spacing w:after="0" w:line="93" w:lineRule="exact"/>
        <w:rPr>
          <w:rFonts w:ascii="Arial" w:cs="Arial" w:eastAsia="Arial" w:hAnsi="Arial"/>
          <w:sz w:val="18"/>
          <w:szCs w:val="18"/>
          <w:color w:val="auto"/>
        </w:rPr>
      </w:pPr>
    </w:p>
    <w:p>
      <w:pPr>
        <w:ind w:right="240" w:firstLine="258"/>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Representations and Warranties contained in the Credit Agreement or in any other document or documents relating thereto shall survive the execution and delivery of this Amendment. The Borrower is not aware of any events which now constitute, or with the passage of time or the giving of notice, or both, would constitute, an Event of Default under the Credit Agreement.</w:t>
      </w:r>
    </w:p>
    <w:p>
      <w:pPr>
        <w:spacing w:after="0" w:line="94" w:lineRule="exact"/>
        <w:rPr>
          <w:rFonts w:ascii="Arial" w:cs="Arial" w:eastAsia="Arial" w:hAnsi="Arial"/>
          <w:sz w:val="18"/>
          <w:szCs w:val="18"/>
          <w:color w:val="auto"/>
        </w:rPr>
      </w:pPr>
    </w:p>
    <w:p>
      <w:pPr>
        <w:ind w:right="320" w:firstLine="258"/>
        <w:spacing w:after="0" w:line="246"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a condition to the effectiveness of this Amendment, Administrative Agent shall have received, in form and substance satisfactory to Administrative Agent, the following:</w:t>
      </w:r>
    </w:p>
    <w:p>
      <w:pPr>
        <w:spacing w:after="0" w:line="88" w:lineRule="exact"/>
        <w:rPr>
          <w:rFonts w:ascii="Arial" w:cs="Arial" w:eastAsia="Arial" w:hAnsi="Arial"/>
          <w:sz w:val="18"/>
          <w:szCs w:val="18"/>
          <w:color w:val="auto"/>
        </w:rPr>
      </w:pPr>
    </w:p>
    <w:p>
      <w:pPr>
        <w:ind w:left="780" w:hanging="272"/>
        <w:spacing w:after="0"/>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this Amendment, duly executed by Borrower, Collateral Agent and each Lender;</w:t>
      </w:r>
    </w:p>
    <w:p>
      <w:pPr>
        <w:spacing w:after="0" w:line="103" w:lineRule="exact"/>
        <w:rPr>
          <w:rFonts w:ascii="Arial" w:cs="Arial" w:eastAsia="Arial" w:hAnsi="Arial"/>
          <w:sz w:val="18"/>
          <w:szCs w:val="18"/>
          <w:color w:val="auto"/>
        </w:rPr>
      </w:pPr>
    </w:p>
    <w:p>
      <w:pPr>
        <w:ind w:left="760" w:hanging="252"/>
        <w:spacing w:after="0"/>
        <w:tabs>
          <w:tab w:leader="none" w:pos="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Affirmation of Subsidiary Guaranty and Security Agreement, duly executed by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ind w:left="-80" w:right="120" w:firstLine="508"/>
        <w:spacing w:after="0" w:line="246" w:lineRule="auto"/>
        <w:tabs>
          <w:tab w:leader="none" w:pos="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reasonable attorneys’ fees and costs incurred through the date of this Amendment, which may be debited from any of Borrower’s accounts; and</w:t>
      </w:r>
    </w:p>
    <w:p>
      <w:pPr>
        <w:spacing w:after="0" w:line="88" w:lineRule="exact"/>
        <w:rPr>
          <w:rFonts w:ascii="Arial" w:cs="Arial" w:eastAsia="Arial" w:hAnsi="Arial"/>
          <w:sz w:val="18"/>
          <w:szCs w:val="18"/>
          <w:color w:val="auto"/>
        </w:rPr>
      </w:pPr>
    </w:p>
    <w:p>
      <w:pPr>
        <w:ind w:left="700" w:hanging="272"/>
        <w:spacing w:after="0"/>
        <w:tabs>
          <w:tab w:leader="none" w:pos="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such other documents, and completion of such other matters, as Agent may reasonably deem necessary or appropriate.</w:t>
      </w:r>
    </w:p>
    <w:p>
      <w:pPr>
        <w:spacing w:after="0" w:line="103" w:lineRule="exact"/>
        <w:rPr>
          <w:rFonts w:ascii="Arial" w:cs="Arial" w:eastAsia="Arial" w:hAnsi="Arial"/>
          <w:sz w:val="18"/>
          <w:szCs w:val="18"/>
          <w:color w:val="auto"/>
        </w:rPr>
      </w:pPr>
    </w:p>
    <w:p>
      <w:pPr>
        <w:ind w:left="-80" w:firstLine="258"/>
        <w:spacing w:after="0" w:line="246" w:lineRule="auto"/>
        <w:tabs>
          <w:tab w:leader="none" w:pos="3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395605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49" w:right="29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IN WITNESS WHEREOF, the undersigned have executed this Amendment as of the first date above written.</w:t>
      </w:r>
    </w:p>
    <w:p>
      <w:pPr>
        <w:spacing w:after="0" w:line="8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VIASAT, INC,</w:t>
      </w:r>
    </w:p>
    <w:p>
      <w:pPr>
        <w:spacing w:after="0" w:line="12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ind w:left="5460"/>
        <w:spacing w:after="0" w:line="234" w:lineRule="auto"/>
        <w:rPr>
          <w:sz w:val="20"/>
          <w:szCs w:val="20"/>
          <w:color w:val="auto"/>
        </w:rPr>
      </w:pPr>
      <w:r>
        <w:rPr>
          <w:rFonts w:ascii="Arial" w:cs="Arial" w:eastAsia="Arial" w:hAnsi="Arial"/>
          <w:sz w:val="18"/>
          <w:szCs w:val="18"/>
          <w:color w:val="auto"/>
        </w:rPr>
        <w:t>By: 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-127000</wp:posOffset>
            </wp:positionV>
            <wp:extent cx="2092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6"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auto"/>
        </w:rPr>
        <w:t>UNION BANK OF CALIFORNIA, N.A.</w:t>
      </w:r>
      <w:r>
        <w:rPr>
          <w:rFonts w:ascii="Arial" w:cs="Arial" w:eastAsia="Arial" w:hAnsi="Arial"/>
          <w:sz w:val="17"/>
          <w:szCs w:val="17"/>
          <w:color w:val="auto"/>
        </w:rPr>
        <w:t>, as</w:t>
      </w:r>
    </w:p>
    <w:p>
      <w:pPr>
        <w:spacing w:after="0" w:line="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Administrative Agent</w:t>
      </w:r>
    </w:p>
    <w:p>
      <w:pPr>
        <w:spacing w:after="0" w:line="9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/s/ B</w:t>
      </w:r>
      <w:r>
        <w:rPr>
          <w:rFonts w:ascii="Arial" w:cs="Arial" w:eastAsia="Arial" w:hAnsi="Arial"/>
          <w:sz w:val="12"/>
          <w:szCs w:val="12"/>
          <w:color w:val="auto"/>
        </w:rPr>
        <w:t>RUCE</w:t>
      </w:r>
      <w:r>
        <w:rPr>
          <w:rFonts w:ascii="Arial" w:cs="Arial" w:eastAsia="Arial" w:hAnsi="Arial"/>
          <w:sz w:val="18"/>
          <w:szCs w:val="18"/>
          <w:color w:val="auto"/>
        </w:rPr>
        <w:t xml:space="preserve"> B</w:t>
      </w:r>
      <w:r>
        <w:rPr>
          <w:rFonts w:ascii="Arial" w:cs="Arial" w:eastAsia="Arial" w:hAnsi="Arial"/>
          <w:sz w:val="12"/>
          <w:szCs w:val="12"/>
          <w:color w:val="auto"/>
        </w:rPr>
        <w:t>RESLAU</w:t>
      </w:r>
    </w:p>
    <w:p>
      <w:pPr>
        <w:ind w:left="5460"/>
        <w:spacing w:after="0" w:line="234" w:lineRule="auto"/>
        <w:rPr>
          <w:sz w:val="20"/>
          <w:szCs w:val="20"/>
          <w:color w:val="auto"/>
        </w:rPr>
      </w:pPr>
      <w:r>
        <w:rPr>
          <w:rFonts w:ascii="Arial" w:cs="Arial" w:eastAsia="Arial" w:hAnsi="Arial"/>
          <w:sz w:val="18"/>
          <w:szCs w:val="18"/>
          <w:color w:val="auto"/>
        </w:rPr>
        <w:t>Name: B</w:t>
      </w:r>
      <w:r>
        <w:rPr>
          <w:rFonts w:ascii="Arial" w:cs="Arial" w:eastAsia="Arial" w:hAnsi="Arial"/>
          <w:sz w:val="12"/>
          <w:szCs w:val="12"/>
          <w:color w:val="auto"/>
        </w:rPr>
        <w:t>RUCE</w:t>
      </w:r>
      <w:r>
        <w:rPr>
          <w:rFonts w:ascii="Arial" w:cs="Arial" w:eastAsia="Arial" w:hAnsi="Arial"/>
          <w:sz w:val="18"/>
          <w:szCs w:val="18"/>
          <w:color w:val="auto"/>
        </w:rPr>
        <w:t xml:space="preserve"> B</w:t>
      </w:r>
      <w:r>
        <w:rPr>
          <w:rFonts w:ascii="Arial" w:cs="Arial" w:eastAsia="Arial" w:hAnsi="Arial"/>
          <w:sz w:val="12"/>
          <w:szCs w:val="12"/>
          <w:color w:val="auto"/>
        </w:rPr>
        <w:t>RESLAU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-127000</wp:posOffset>
            </wp:positionV>
            <wp:extent cx="18865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8"/>
          <w:szCs w:val="18"/>
          <w:color w:val="auto"/>
        </w:rPr>
        <w:t>Title: S</w:t>
      </w:r>
      <w:r>
        <w:rPr>
          <w:rFonts w:ascii="Arial" w:cs="Arial" w:eastAsia="Arial" w:hAnsi="Arial"/>
          <w:sz w:val="12"/>
          <w:szCs w:val="12"/>
          <w:color w:val="auto"/>
        </w:rPr>
        <w:t>ENIOR</w:t>
      </w:r>
      <w:r>
        <w:rPr>
          <w:rFonts w:ascii="Arial" w:cs="Arial" w:eastAsia="Arial" w:hAnsi="Arial"/>
          <w:sz w:val="18"/>
          <w:szCs w:val="18"/>
          <w:color w:val="auto"/>
        </w:rPr>
        <w:t xml:space="preserve"> V</w:t>
      </w:r>
      <w:r>
        <w:rPr>
          <w:rFonts w:ascii="Arial" w:cs="Arial" w:eastAsia="Arial" w:hAnsi="Arial"/>
          <w:sz w:val="12"/>
          <w:szCs w:val="12"/>
          <w:color w:val="auto"/>
        </w:rPr>
        <w:t>ICE</w:t>
      </w:r>
      <w:r>
        <w:rPr>
          <w:rFonts w:ascii="Arial" w:cs="Arial" w:eastAsia="Arial" w:hAnsi="Arial"/>
          <w:sz w:val="18"/>
          <w:szCs w:val="18"/>
          <w:color w:val="auto"/>
        </w:rPr>
        <w:t xml:space="preserve"> P</w:t>
      </w:r>
      <w:r>
        <w:rPr>
          <w:rFonts w:ascii="Arial" w:cs="Arial" w:eastAsia="Arial" w:hAnsi="Arial"/>
          <w:sz w:val="12"/>
          <w:szCs w:val="12"/>
          <w:color w:val="auto"/>
        </w:rPr>
        <w:t>RESIDENT</w:t>
      </w:r>
    </w:p>
    <w:p>
      <w:pPr>
        <w:spacing w:after="0" w:line="200" w:lineRule="exact"/>
        <w:rPr>
          <w:sz w:val="20"/>
          <w:szCs w:val="20"/>
          <w:color w:val="auto"/>
        </w:rPr>
      </w:pPr>
    </w:p>
    <w:p>
      <w:pPr>
        <w:spacing w:after="0" w:line="20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COMERICA BANK</w:t>
      </w:r>
      <w:r>
        <w:rPr>
          <w:rFonts w:ascii="Arial" w:cs="Arial" w:eastAsia="Arial" w:hAnsi="Arial"/>
          <w:sz w:val="18"/>
          <w:szCs w:val="18"/>
          <w:color w:val="auto"/>
        </w:rPr>
        <w:t>, as Collateral Agent</w:t>
      </w:r>
    </w:p>
    <w:p>
      <w:pPr>
        <w:spacing w:after="0" w:line="12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/s/ T</w:t>
      </w:r>
      <w:r>
        <w:rPr>
          <w:rFonts w:ascii="Arial" w:cs="Arial" w:eastAsia="Arial" w:hAnsi="Arial"/>
          <w:sz w:val="12"/>
          <w:szCs w:val="12"/>
          <w:color w:val="auto"/>
        </w:rPr>
        <w:t>OMAS</w:t>
      </w:r>
      <w:r>
        <w:rPr>
          <w:rFonts w:ascii="Arial" w:cs="Arial" w:eastAsia="Arial" w:hAnsi="Arial"/>
          <w:sz w:val="18"/>
          <w:szCs w:val="18"/>
          <w:color w:val="auto"/>
        </w:rPr>
        <w:t xml:space="preserve"> S</w:t>
      </w:r>
      <w:r>
        <w:rPr>
          <w:rFonts w:ascii="Arial" w:cs="Arial" w:eastAsia="Arial" w:hAnsi="Arial"/>
          <w:sz w:val="12"/>
          <w:szCs w:val="12"/>
          <w:color w:val="auto"/>
        </w:rPr>
        <w:t>CHMIDT</w:t>
      </w:r>
    </w:p>
    <w:p>
      <w:pPr>
        <w:ind w:left="5460"/>
        <w:spacing w:after="0" w:line="234" w:lineRule="auto"/>
        <w:rPr>
          <w:sz w:val="20"/>
          <w:szCs w:val="20"/>
          <w:color w:val="auto"/>
        </w:rPr>
      </w:pPr>
      <w:r>
        <w:rPr>
          <w:rFonts w:ascii="Arial" w:cs="Arial" w:eastAsia="Arial" w:hAnsi="Arial"/>
          <w:sz w:val="18"/>
          <w:szCs w:val="18"/>
          <w:color w:val="auto"/>
        </w:rPr>
        <w:t>Name: T</w:t>
      </w:r>
      <w:r>
        <w:rPr>
          <w:rFonts w:ascii="Arial" w:cs="Arial" w:eastAsia="Arial" w:hAnsi="Arial"/>
          <w:sz w:val="12"/>
          <w:szCs w:val="12"/>
          <w:color w:val="auto"/>
        </w:rPr>
        <w:t>OMAS</w:t>
      </w:r>
      <w:r>
        <w:rPr>
          <w:rFonts w:ascii="Arial" w:cs="Arial" w:eastAsia="Arial" w:hAnsi="Arial"/>
          <w:sz w:val="18"/>
          <w:szCs w:val="18"/>
          <w:color w:val="auto"/>
        </w:rPr>
        <w:t xml:space="preserve"> S</w:t>
      </w:r>
      <w:r>
        <w:rPr>
          <w:rFonts w:ascii="Arial" w:cs="Arial" w:eastAsia="Arial" w:hAnsi="Arial"/>
          <w:sz w:val="12"/>
          <w:szCs w:val="12"/>
          <w:color w:val="auto"/>
        </w:rPr>
        <w:t>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-127000</wp:posOffset>
            </wp:positionV>
            <wp:extent cx="18783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8"/>
          <w:szCs w:val="18"/>
          <w:color w:val="auto"/>
        </w:rPr>
        <w:t>Title: V</w:t>
      </w:r>
      <w:r>
        <w:rPr>
          <w:rFonts w:ascii="Arial" w:cs="Arial" w:eastAsia="Arial" w:hAnsi="Arial"/>
          <w:sz w:val="12"/>
          <w:szCs w:val="12"/>
          <w:color w:val="auto"/>
        </w:rPr>
        <w:t>ICE</w:t>
      </w:r>
      <w:r>
        <w:rPr>
          <w:rFonts w:ascii="Arial" w:cs="Arial" w:eastAsia="Arial" w:hAnsi="Arial"/>
          <w:sz w:val="18"/>
          <w:szCs w:val="18"/>
          <w:color w:val="auto"/>
        </w:rPr>
        <w:t xml:space="preserve"> P</w:t>
      </w:r>
      <w:r>
        <w:rPr>
          <w:rFonts w:ascii="Arial" w:cs="Arial" w:eastAsia="Arial" w:hAnsi="Arial"/>
          <w:sz w:val="12"/>
          <w:szCs w:val="12"/>
          <w:color w:val="auto"/>
        </w:rPr>
        <w:t>RESIDENT</w:t>
      </w:r>
    </w:p>
    <w:p>
      <w:pPr>
        <w:spacing w:after="0" w:line="298"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Third Amendment</w:t>
      </w:r>
    </w:p>
    <w:p>
      <w:pPr>
        <w:spacing w:after="0" w:line="18"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i w:val="1"/>
          <w:iCs w:val="1"/>
          <w:color w:val="auto"/>
        </w:rPr>
        <w:t>to Second Amended and Restated Revolving Loan Agreement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Signatures Continued Next Page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395605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59"/>
          </w:cols>
          <w:pgMar w:left="500" w:top="949" w:right="1440" w:bottom="1440" w:gutter="0" w:footer="0" w:header="0"/>
        </w:sectPr>
      </w:pPr>
    </w:p>
    <w:bookmarkStart w:id="93" w:name="page94"/>
    <w:bookmarkEnd w:id="93"/>
    <w:p>
      <w:pPr>
        <w:jc w:val="right"/>
        <w:ind w:right="339"/>
        <w:spacing w:after="0"/>
        <w:rPr>
          <w:sz w:val="20"/>
          <w:szCs w:val="20"/>
          <w:color w:val="auto"/>
        </w:rPr>
      </w:pPr>
      <w:r>
        <w:rPr>
          <w:rFonts w:ascii="Arial" w:cs="Arial" w:eastAsia="Arial" w:hAnsi="Arial"/>
          <w:sz w:val="18"/>
          <w:szCs w:val="18"/>
          <w:b w:val="1"/>
          <w:bCs w:val="1"/>
          <w:color w:val="auto"/>
        </w:rPr>
        <w:t>UNION BANK OF CALIFORNIA,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w:t>
      </w:r>
      <w:r>
        <w:rPr>
          <w:rFonts w:ascii="Arial" w:cs="Arial" w:eastAsia="Arial" w:hAnsi="Arial"/>
          <w:sz w:val="12"/>
          <w:szCs w:val="12"/>
          <w:color w:val="auto"/>
        </w:rPr>
        <w:t>RUCE</w:t>
      </w:r>
      <w:r>
        <w:rPr>
          <w:rFonts w:ascii="Arial" w:cs="Arial" w:eastAsia="Arial" w:hAnsi="Arial"/>
          <w:sz w:val="18"/>
          <w:szCs w:val="18"/>
          <w:color w:val="auto"/>
        </w:rPr>
        <w:t xml:space="preserve"> B</w:t>
      </w:r>
      <w:r>
        <w:rPr>
          <w:rFonts w:ascii="Arial" w:cs="Arial" w:eastAsia="Arial" w:hAnsi="Arial"/>
          <w:sz w:val="12"/>
          <w:szCs w:val="12"/>
          <w:color w:val="auto"/>
        </w:rPr>
        <w:t>RESLAU</w:t>
      </w:r>
    </w:p>
    <w:p>
      <w:pPr>
        <w:ind w:left="4520"/>
        <w:spacing w:after="0" w:line="234" w:lineRule="auto"/>
        <w:rPr>
          <w:sz w:val="20"/>
          <w:szCs w:val="20"/>
          <w:color w:val="auto"/>
        </w:rPr>
      </w:pPr>
      <w:r>
        <w:rPr>
          <w:rFonts w:ascii="Arial" w:cs="Arial" w:eastAsia="Arial" w:hAnsi="Arial"/>
          <w:sz w:val="18"/>
          <w:szCs w:val="18"/>
          <w:color w:val="auto"/>
        </w:rPr>
        <w:t>Name: B</w:t>
      </w:r>
      <w:r>
        <w:rPr>
          <w:rFonts w:ascii="Arial" w:cs="Arial" w:eastAsia="Arial" w:hAnsi="Arial"/>
          <w:sz w:val="12"/>
          <w:szCs w:val="12"/>
          <w:color w:val="auto"/>
        </w:rPr>
        <w:t>RUCE</w:t>
      </w:r>
      <w:r>
        <w:rPr>
          <w:rFonts w:ascii="Arial" w:cs="Arial" w:eastAsia="Arial" w:hAnsi="Arial"/>
          <w:sz w:val="18"/>
          <w:szCs w:val="18"/>
          <w:color w:val="auto"/>
        </w:rPr>
        <w:t xml:space="preserve"> B</w:t>
      </w:r>
      <w:r>
        <w:rPr>
          <w:rFonts w:ascii="Arial" w:cs="Arial" w:eastAsia="Arial" w:hAnsi="Arial"/>
          <w:sz w:val="12"/>
          <w:szCs w:val="12"/>
          <w:color w:val="auto"/>
        </w:rPr>
        <w:t>RESLAU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-127000</wp:posOffset>
            </wp:positionV>
            <wp:extent cx="20154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S</w:t>
      </w:r>
      <w:r>
        <w:rPr>
          <w:rFonts w:ascii="Arial" w:cs="Arial" w:eastAsia="Arial" w:hAnsi="Arial"/>
          <w:sz w:val="12"/>
          <w:szCs w:val="12"/>
          <w:color w:val="auto"/>
        </w:rPr>
        <w:t>ENIOR</w:t>
      </w:r>
      <w:r>
        <w:rPr>
          <w:rFonts w:ascii="Arial" w:cs="Arial" w:eastAsia="Arial" w:hAnsi="Arial"/>
          <w:sz w:val="18"/>
          <w:szCs w:val="18"/>
          <w:color w:val="auto"/>
        </w:rPr>
        <w:t xml:space="preserve"> V</w:t>
      </w:r>
      <w:r>
        <w:rPr>
          <w:rFonts w:ascii="Arial" w:cs="Arial" w:eastAsia="Arial" w:hAnsi="Arial"/>
          <w:sz w:val="12"/>
          <w:szCs w:val="12"/>
          <w:color w:val="auto"/>
        </w:rPr>
        <w:t>ICE</w:t>
      </w:r>
      <w:r>
        <w:rPr>
          <w:rFonts w:ascii="Arial" w:cs="Arial" w:eastAsia="Arial" w:hAnsi="Arial"/>
          <w:sz w:val="18"/>
          <w:szCs w:val="18"/>
          <w:color w:val="auto"/>
        </w:rPr>
        <w:t xml:space="preserve"> P</w:t>
      </w:r>
      <w:r>
        <w:rPr>
          <w:rFonts w:ascii="Arial" w:cs="Arial" w:eastAsia="Arial" w:hAnsi="Arial"/>
          <w:sz w:val="12"/>
          <w:szCs w:val="12"/>
          <w:color w:val="auto"/>
        </w:rPr>
        <w:t>RESIDENT</w:t>
      </w:r>
    </w:p>
    <w:p>
      <w:pPr>
        <w:spacing w:after="0" w:line="200" w:lineRule="exact"/>
        <w:rPr>
          <w:sz w:val="20"/>
          <w:szCs w:val="20"/>
          <w:color w:val="auto"/>
        </w:rPr>
      </w:pPr>
    </w:p>
    <w:p>
      <w:pPr>
        <w:spacing w:after="0" w:line="20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COMERICA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w:t>
      </w:r>
      <w:r>
        <w:rPr>
          <w:rFonts w:ascii="Arial" w:cs="Arial" w:eastAsia="Arial" w:hAnsi="Arial"/>
          <w:sz w:val="12"/>
          <w:szCs w:val="12"/>
          <w:color w:val="auto"/>
        </w:rPr>
        <w:t>OMAS</w:t>
      </w:r>
      <w:r>
        <w:rPr>
          <w:rFonts w:ascii="Arial" w:cs="Arial" w:eastAsia="Arial" w:hAnsi="Arial"/>
          <w:sz w:val="18"/>
          <w:szCs w:val="18"/>
          <w:color w:val="auto"/>
        </w:rPr>
        <w:t xml:space="preserve"> S</w:t>
      </w:r>
      <w:r>
        <w:rPr>
          <w:rFonts w:ascii="Arial" w:cs="Arial" w:eastAsia="Arial" w:hAnsi="Arial"/>
          <w:sz w:val="12"/>
          <w:szCs w:val="12"/>
          <w:color w:val="auto"/>
        </w:rPr>
        <w:t>CHMIDT</w:t>
      </w:r>
    </w:p>
    <w:p>
      <w:pPr>
        <w:ind w:left="4520"/>
        <w:spacing w:after="0" w:line="234" w:lineRule="auto"/>
        <w:rPr>
          <w:sz w:val="20"/>
          <w:szCs w:val="20"/>
          <w:color w:val="auto"/>
        </w:rPr>
      </w:pPr>
      <w:r>
        <w:rPr>
          <w:rFonts w:ascii="Arial" w:cs="Arial" w:eastAsia="Arial" w:hAnsi="Arial"/>
          <w:sz w:val="18"/>
          <w:szCs w:val="18"/>
          <w:color w:val="auto"/>
        </w:rPr>
        <w:t>Name: T</w:t>
      </w:r>
      <w:r>
        <w:rPr>
          <w:rFonts w:ascii="Arial" w:cs="Arial" w:eastAsia="Arial" w:hAnsi="Arial"/>
          <w:sz w:val="12"/>
          <w:szCs w:val="12"/>
          <w:color w:val="auto"/>
        </w:rPr>
        <w:t>OMAS</w:t>
      </w:r>
      <w:r>
        <w:rPr>
          <w:rFonts w:ascii="Arial" w:cs="Arial" w:eastAsia="Arial" w:hAnsi="Arial"/>
          <w:sz w:val="18"/>
          <w:szCs w:val="18"/>
          <w:color w:val="auto"/>
        </w:rPr>
        <w:t xml:space="preserve"> S</w:t>
      </w:r>
      <w:r>
        <w:rPr>
          <w:rFonts w:ascii="Arial" w:cs="Arial" w:eastAsia="Arial" w:hAnsi="Arial"/>
          <w:sz w:val="12"/>
          <w:szCs w:val="12"/>
          <w:color w:val="auto"/>
        </w:rPr>
        <w:t>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-127000</wp:posOffset>
            </wp:positionV>
            <wp:extent cx="20066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w:t>
      </w:r>
      <w:r>
        <w:rPr>
          <w:rFonts w:ascii="Arial" w:cs="Arial" w:eastAsia="Arial" w:hAnsi="Arial"/>
          <w:sz w:val="12"/>
          <w:szCs w:val="12"/>
          <w:color w:val="auto"/>
        </w:rPr>
        <w:t>ICE</w:t>
      </w:r>
      <w:r>
        <w:rPr>
          <w:rFonts w:ascii="Arial" w:cs="Arial" w:eastAsia="Arial" w:hAnsi="Arial"/>
          <w:sz w:val="18"/>
          <w:szCs w:val="18"/>
          <w:color w:val="auto"/>
        </w:rPr>
        <w:t xml:space="preserve"> P</w:t>
      </w:r>
      <w:r>
        <w:rPr>
          <w:rFonts w:ascii="Arial" w:cs="Arial" w:eastAsia="Arial" w:hAnsi="Arial"/>
          <w:sz w:val="12"/>
          <w:szCs w:val="12"/>
          <w:color w:val="auto"/>
        </w:rPr>
        <w:t>RESIDENT</w:t>
      </w:r>
    </w:p>
    <w:p>
      <w:pPr>
        <w:spacing w:after="0" w:line="200" w:lineRule="exact"/>
        <w:rPr>
          <w:sz w:val="20"/>
          <w:szCs w:val="20"/>
          <w:color w:val="auto"/>
        </w:rPr>
      </w:pPr>
    </w:p>
    <w:p>
      <w:pPr>
        <w:spacing w:after="0" w:line="20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WACHOVIA BANK, N.A.</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w:t>
      </w:r>
      <w:r>
        <w:rPr>
          <w:rFonts w:ascii="Arial" w:cs="Arial" w:eastAsia="Arial" w:hAnsi="Arial"/>
          <w:sz w:val="12"/>
          <w:szCs w:val="12"/>
          <w:color w:val="auto"/>
        </w:rPr>
        <w:t>OBERT</w:t>
      </w:r>
      <w:r>
        <w:rPr>
          <w:rFonts w:ascii="Arial" w:cs="Arial" w:eastAsia="Arial" w:hAnsi="Arial"/>
          <w:sz w:val="18"/>
          <w:szCs w:val="18"/>
          <w:color w:val="auto"/>
        </w:rPr>
        <w:t xml:space="preserve"> G. M</w:t>
      </w:r>
      <w:r>
        <w:rPr>
          <w:rFonts w:ascii="Arial" w:cs="Arial" w:eastAsia="Arial" w:hAnsi="Arial"/>
          <w:sz w:val="12"/>
          <w:szCs w:val="12"/>
          <w:color w:val="auto"/>
        </w:rPr>
        <w:t>C</w:t>
      </w:r>
      <w:r>
        <w:rPr>
          <w:rFonts w:ascii="Arial" w:cs="Arial" w:eastAsia="Arial" w:hAnsi="Arial"/>
          <w:sz w:val="18"/>
          <w:szCs w:val="18"/>
          <w:color w:val="auto"/>
        </w:rPr>
        <w:t>G</w:t>
      </w:r>
      <w:r>
        <w:rPr>
          <w:rFonts w:ascii="Arial" w:cs="Arial" w:eastAsia="Arial" w:hAnsi="Arial"/>
          <w:sz w:val="12"/>
          <w:szCs w:val="12"/>
          <w:color w:val="auto"/>
        </w:rPr>
        <w:t>ILL</w:t>
      </w:r>
      <w:r>
        <w:rPr>
          <w:rFonts w:ascii="Arial" w:cs="Arial" w:eastAsia="Arial" w:hAnsi="Arial"/>
          <w:sz w:val="18"/>
          <w:szCs w:val="18"/>
          <w:color w:val="auto"/>
        </w:rPr>
        <w:t xml:space="preserve"> J</w:t>
      </w:r>
      <w:r>
        <w:rPr>
          <w:rFonts w:ascii="Arial" w:cs="Arial" w:eastAsia="Arial" w:hAnsi="Arial"/>
          <w:sz w:val="12"/>
          <w:szCs w:val="12"/>
          <w:color w:val="auto"/>
        </w:rPr>
        <w:t>R</w:t>
      </w:r>
      <w:r>
        <w:rPr>
          <w:rFonts w:ascii="Arial" w:cs="Arial" w:eastAsia="Arial" w:hAnsi="Arial"/>
          <w:sz w:val="18"/>
          <w:szCs w:val="18"/>
          <w:color w:val="auto"/>
        </w:rPr>
        <w:t>.</w:t>
      </w:r>
    </w:p>
    <w:p>
      <w:pPr>
        <w:ind w:left="4520"/>
        <w:spacing w:after="0" w:line="234" w:lineRule="auto"/>
        <w:rPr>
          <w:sz w:val="20"/>
          <w:szCs w:val="20"/>
          <w:color w:val="auto"/>
        </w:rPr>
      </w:pPr>
      <w:r>
        <w:rPr>
          <w:rFonts w:ascii="Arial" w:cs="Arial" w:eastAsia="Arial" w:hAnsi="Arial"/>
          <w:sz w:val="18"/>
          <w:szCs w:val="18"/>
          <w:color w:val="auto"/>
        </w:rPr>
        <w:t>Name: R</w:t>
      </w:r>
      <w:r>
        <w:rPr>
          <w:rFonts w:ascii="Arial" w:cs="Arial" w:eastAsia="Arial" w:hAnsi="Arial"/>
          <w:sz w:val="12"/>
          <w:szCs w:val="12"/>
          <w:color w:val="auto"/>
        </w:rPr>
        <w:t>OBERT</w:t>
      </w:r>
      <w:r>
        <w:rPr>
          <w:rFonts w:ascii="Arial" w:cs="Arial" w:eastAsia="Arial" w:hAnsi="Arial"/>
          <w:sz w:val="18"/>
          <w:szCs w:val="18"/>
          <w:color w:val="auto"/>
        </w:rPr>
        <w:t xml:space="preserve"> G. M</w:t>
      </w:r>
      <w:r>
        <w:rPr>
          <w:rFonts w:ascii="Arial" w:cs="Arial" w:eastAsia="Arial" w:hAnsi="Arial"/>
          <w:sz w:val="12"/>
          <w:szCs w:val="12"/>
          <w:color w:val="auto"/>
        </w:rPr>
        <w:t>C</w:t>
      </w:r>
      <w:r>
        <w:rPr>
          <w:rFonts w:ascii="Arial" w:cs="Arial" w:eastAsia="Arial" w:hAnsi="Arial"/>
          <w:sz w:val="18"/>
          <w:szCs w:val="18"/>
          <w:color w:val="auto"/>
        </w:rPr>
        <w:t>G</w:t>
      </w:r>
      <w:r>
        <w:rPr>
          <w:rFonts w:ascii="Arial" w:cs="Arial" w:eastAsia="Arial" w:hAnsi="Arial"/>
          <w:sz w:val="12"/>
          <w:szCs w:val="12"/>
          <w:color w:val="auto"/>
        </w:rPr>
        <w:t>ILL</w:t>
      </w:r>
      <w:r>
        <w:rPr>
          <w:rFonts w:ascii="Arial" w:cs="Arial" w:eastAsia="Arial" w:hAnsi="Arial"/>
          <w:sz w:val="18"/>
          <w:szCs w:val="18"/>
          <w:color w:val="auto"/>
        </w:rPr>
        <w:t xml:space="preserve"> J</w:t>
      </w:r>
      <w:r>
        <w:rPr>
          <w:rFonts w:ascii="Arial" w:cs="Arial" w:eastAsia="Arial" w:hAnsi="Arial"/>
          <w:sz w:val="12"/>
          <w:szCs w:val="12"/>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-127000</wp:posOffset>
            </wp:positionV>
            <wp:extent cx="21609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D</w:t>
      </w:r>
      <w:r>
        <w:rPr>
          <w:rFonts w:ascii="Arial" w:cs="Arial" w:eastAsia="Arial" w:hAnsi="Arial"/>
          <w:sz w:val="12"/>
          <w:szCs w:val="12"/>
          <w:color w:val="auto"/>
        </w:rPr>
        <w:t>IRECTOR</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Third Amendment</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to Second Amended and Restated Revolving Loan Agreement</w:t>
      </w:r>
      <w:r>
        <w:rPr>
          <w:rFonts w:ascii="Arial" w:cs="Arial" w:eastAsia="Arial" w:hAnsi="Arial"/>
          <w:sz w:val="17"/>
          <w:szCs w:val="17"/>
          <w:b w:val="1"/>
          <w:bCs w:val="1"/>
          <w:color w:val="auto"/>
        </w:rPr>
        <w:t>]</w:t>
      </w:r>
    </w:p>
    <w:p>
      <w:pPr>
        <w:sectPr>
          <w:pgSz w:w="11900" w:h="16838" w:orient="portrait"/>
          <w:cols w:equalWidth="0" w:num="1">
            <w:col w:w="9019"/>
          </w:cols>
          <w:pgMar w:left="1440" w:top="927"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Subsidiaries of ViaSat</w:t>
      </w:r>
    </w:p>
    <w:p>
      <w:pPr>
        <w:spacing w:after="0" w:line="11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ViaSat Worldwide Limited, a Delaware corporation.</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ViaSat China Services, Inc., a Delaware corporation</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ViaSat Australia PTY Limited, an Australian corporation</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ViaSat Canada Company, a Nova Scotia unlimited liability company</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ViaSat Europe S.r.l., an Italian limited liability company</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ViaSat India Pvt. Ltd., an Indian private limited company</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Immeon Networks, LLC., a Delaware limited liability company</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Monolithics, LLC., an Arizona limited liability company</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Efficient Channel Coding, Inc., an Ohio corporation</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Enerdyne Technologies, Inc., a Delaware corporation</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Intelligent Compression Technologies, Inc., a Delaware corporation</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JAST, S.A., a Swiss corporation</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S-3 (File Nos. 333-143425, 333-85522, 333-74276, 333-69664, 333-116468, 333-135652, 333-141238 and 333-141859) and the Registration Statements on Form S-8 (File Nos. 333-21113, 333-68757, 333-40396, 333-67010, 333-82340, 333-109959, 333-131377 and 333-131382) of ViaSat, Inc., of our report dated May 23, 2008 relating to the financial statements, financial statement schedule and the effectiveness of internal control over financial reporting, which appears in this Form 10-K</w:t>
      </w:r>
      <w:r>
        <w:rPr>
          <w:rFonts w:ascii="Arial" w:cs="Arial" w:eastAsia="Arial" w:hAnsi="Arial"/>
          <w:sz w:val="17"/>
          <w:szCs w:val="17"/>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23, 2008</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right="280" w:firstLine="233"/>
        <w:spacing w:after="0" w:line="264" w:lineRule="auto"/>
        <w:tabs>
          <w:tab w:leader="none" w:pos="4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233"/>
        <w:spacing w:after="0" w:line="264" w:lineRule="auto"/>
        <w:tabs>
          <w:tab w:leader="none" w:pos="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0" w:firstLine="233"/>
        <w:spacing w:after="0" w:line="277" w:lineRule="auto"/>
        <w:tabs>
          <w:tab w:leader="none" w:pos="4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23,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D. DANKBERG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right="280" w:firstLine="233"/>
        <w:spacing w:after="0" w:line="264" w:lineRule="auto"/>
        <w:tabs>
          <w:tab w:leader="none" w:pos="41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233"/>
        <w:spacing w:after="0" w:line="264" w:lineRule="auto"/>
        <w:tabs>
          <w:tab w:leader="none" w:pos="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0" w:firstLine="233"/>
        <w:spacing w:after="0" w:line="277" w:lineRule="auto"/>
        <w:tabs>
          <w:tab w:leader="none" w:pos="41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23,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RONALD G. WANGERIN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240" w:firstLine="221"/>
        <w:spacing w:after="0" w:line="308" w:lineRule="auto"/>
        <w:tabs>
          <w:tab w:leader="none" w:pos="71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fiscal year ended March 28, 2008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720" w:hanging="259"/>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D. DANKBERG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240" w:firstLine="221"/>
        <w:spacing w:after="0" w:line="308" w:lineRule="auto"/>
        <w:tabs>
          <w:tab w:leader="none" w:pos="71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fiscal year ended March 28, 2008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720" w:hanging="259"/>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RONALD G. WANGERIN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emdash "/>
      <w:numFmt w:val="bullet"/>
      <w:start w:val="1"/>
    </w:lvl>
    <w:lvl w:ilvl="1">
      <w:lvlJc w:val="left"/>
      <w:lvlText w:val="%2."/>
      <w:numFmt w:val="upperLetter"/>
      <w:start w:val="8"/>
    </w:lvl>
  </w:abstractNum>
  <w:abstractNum w:abstractNumId="9">
    <w:nsid w:val="8EDBDAB"/>
    <w:multiLevelType w:val="hybridMultilevel"/>
    <w:lvl w:ilvl="0">
      <w:lvlJc w:val="left"/>
      <w:lvlText w:val="\emdash "/>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5"/>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lvl w:ilvl="1">
      <w:lvlJc w:val="left"/>
      <w:lvlText w:val="(%2)"/>
      <w:numFmt w:val="lowerLetter"/>
      <w:start w:val="1"/>
    </w:lvl>
  </w:abstractNum>
  <w:abstractNum w:abstractNumId="32">
    <w:nsid w:val="5072367"/>
    <w:multiLevelType w:val="hybridMultilevel"/>
    <w:lvl w:ilvl="0">
      <w:lvlJc w:val="left"/>
      <w:lvlText w:val="%1"/>
      <w:numFmt w:val="decimal"/>
      <w:start w:val="1"/>
    </w:lvl>
    <w:lvl w:ilvl="1">
      <w:lvlJc w:val="left"/>
      <w:lvlText w:val="(%2)"/>
      <w:numFmt w:val="lowerLetter"/>
      <w:start w:val="3"/>
    </w:lvl>
  </w:abstractNum>
  <w:abstractNum w:abstractNumId="33">
    <w:nsid w:val="3804823E"/>
    <w:multiLevelType w:val="hybridMultilevel"/>
    <w:lvl w:ilvl="0">
      <w:lvlJc w:val="left"/>
      <w:lvlText w:val="%1."/>
      <w:numFmt w:val="decimal"/>
      <w:start w:val="6"/>
    </w:lvl>
    <w:lvl w:ilvl="1">
      <w:lvlJc w:val="left"/>
      <w:lvlText w:val="%2"/>
      <w:numFmt w:val="lowerLetter"/>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2019-12-13T17:10:16Z</dcterms:created>
  <dcterms:modified xsi:type="dcterms:W3CDTF">2019-12-13T17:10:16Z</dcterms:modified>
</cp:coreProperties>
</file>