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4"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52" w:lineRule="exact"/>
        <w:rPr>
          <w:sz w:val="24"/>
          <w:szCs w:val="24"/>
          <w:color w:val="auto"/>
        </w:rPr>
      </w:pPr>
    </w:p>
    <w:p>
      <w:pPr>
        <w:ind w:left="460" w:right="40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0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60"/>
          </w:cols>
          <w:pgMar w:left="240" w:top="230" w:right="299" w:bottom="1440" w:gutter="0" w:footer="0" w:header="0"/>
        </w:sectPr>
      </w:pPr>
    </w:p>
    <w:p>
      <w:pPr>
        <w:spacing w:after="0" w:line="122" w:lineRule="exact"/>
        <w:rPr>
          <w:sz w:val="24"/>
          <w:szCs w:val="24"/>
          <w:color w:val="auto"/>
        </w:rPr>
      </w:pPr>
    </w:p>
    <w:p>
      <w:pPr>
        <w:ind w:left="390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16" w:lineRule="exact"/>
        <w:rPr>
          <w:sz w:val="24"/>
          <w:szCs w:val="24"/>
          <w:color w:val="auto"/>
        </w:rPr>
      </w:pPr>
    </w:p>
    <w:p>
      <w:pPr>
        <w:sectPr>
          <w:pgSz w:w="11900" w:h="16838" w:orient="portrait"/>
          <w:cols w:equalWidth="0" w:num="3">
            <w:col w:w="6160" w:space="620"/>
            <w:col w:w="140" w:space="580"/>
            <w:col w:w="3860"/>
          </w:cols>
          <w:pgMar w:left="240" w:top="230" w:right="299" w:bottom="1440" w:gutter="0" w:footer="0" w:header="0"/>
          <w:type w:val="continuous"/>
        </w:sectPr>
      </w:pPr>
    </w:p>
    <w:p>
      <w:pPr>
        <w:jc w:val="center"/>
        <w:ind w:right="-79"/>
        <w:spacing w:after="0"/>
        <w:rPr>
          <w:sz w:val="20"/>
          <w:szCs w:val="20"/>
          <w:color w:val="auto"/>
        </w:rPr>
      </w:pPr>
      <w:r>
        <w:rPr>
          <w:rFonts w:ascii="Arial" w:cs="Arial" w:eastAsia="Arial" w:hAnsi="Arial"/>
          <w:sz w:val="15"/>
          <w:szCs w:val="15"/>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p>
      <w:pPr>
        <w:spacing w:after="0" w:line="271" w:lineRule="exact"/>
        <w:rPr>
          <w:sz w:val="24"/>
          <w:szCs w:val="24"/>
          <w:color w:val="auto"/>
        </w:rPr>
      </w:pPr>
    </w:p>
    <w:tbl>
      <w:tblPr>
        <w:tblLayout w:type="fixed"/>
        <w:tblInd w:w="2020" w:type="dxa"/>
        <w:tblCellMar>
          <w:top w:w="0" w:type="dxa"/>
          <w:left w:w="0" w:type="dxa"/>
          <w:bottom w:w="0" w:type="dxa"/>
          <w:right w:w="0" w:type="dxa"/>
        </w:tblCellMar>
      </w:tblPr>
      <w:tr>
        <w:trPr>
          <w:trHeight w:val="529"/>
        </w:trPr>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60" w:type="dxa"/>
            <w:vAlign w:val="bottom"/>
            <w:gridSpan w:val="2"/>
          </w:tcPr>
          <w:p>
            <w:pPr>
              <w:jc w:val="center"/>
              <w:ind w:right="2192"/>
              <w:spacing w:after="0"/>
              <w:rPr>
                <w:sz w:val="20"/>
                <w:szCs w:val="20"/>
                <w:color w:val="auto"/>
              </w:rPr>
            </w:pPr>
            <w:r>
              <w:rPr>
                <w:rFonts w:ascii="Arial" w:cs="Arial" w:eastAsia="Arial" w:hAnsi="Arial"/>
                <w:sz w:val="43"/>
                <w:szCs w:val="43"/>
                <w:b w:val="1"/>
                <w:bCs w:val="1"/>
                <w:color w:val="auto"/>
                <w:w w:val="94"/>
              </w:rPr>
              <w:t>ViaSat, Inc.</w:t>
            </w:r>
          </w:p>
        </w:tc>
      </w:tr>
      <w:tr>
        <w:trPr>
          <w:trHeight w:val="228"/>
        </w:trPr>
        <w:tc>
          <w:tcPr>
            <w:tcW w:w="1760" w:type="dxa"/>
            <w:vAlign w:val="bottom"/>
          </w:tcPr>
          <w:p>
            <w:pPr>
              <w:spacing w:after="0"/>
              <w:rPr>
                <w:sz w:val="19"/>
                <w:szCs w:val="19"/>
                <w:color w:val="auto"/>
              </w:rPr>
            </w:pPr>
          </w:p>
        </w:tc>
        <w:tc>
          <w:tcPr>
            <w:tcW w:w="5400" w:type="dxa"/>
            <w:vAlign w:val="bottom"/>
            <w:gridSpan w:val="3"/>
          </w:tcPr>
          <w:p>
            <w:pPr>
              <w:jc w:val="center"/>
              <w:ind w:right="1452"/>
              <w:spacing w:after="0"/>
              <w:rPr>
                <w:sz w:val="20"/>
                <w:szCs w:val="20"/>
                <w:color w:val="auto"/>
              </w:rPr>
            </w:pPr>
            <w:r>
              <w:rPr>
                <w:rFonts w:ascii="Arial" w:cs="Arial" w:eastAsia="Arial" w:hAnsi="Arial"/>
                <w:sz w:val="18"/>
                <w:szCs w:val="18"/>
                <w:b w:val="1"/>
                <w:bCs w:val="1"/>
                <w:color w:val="auto"/>
                <w:w w:val="87"/>
              </w:rPr>
              <w:t>(Exact name of registrant as specified in its charter)</w:t>
            </w:r>
          </w:p>
        </w:tc>
      </w:tr>
      <w:tr>
        <w:trPr>
          <w:trHeight w:val="178"/>
        </w:trPr>
        <w:tc>
          <w:tcPr>
            <w:tcW w:w="1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2280" w:type="dxa"/>
            <w:vAlign w:val="bottom"/>
          </w:tcPr>
          <w:p>
            <w:pPr>
              <w:spacing w:after="0"/>
              <w:rPr>
                <w:sz w:val="15"/>
                <w:szCs w:val="15"/>
                <w:color w:val="auto"/>
              </w:rPr>
            </w:pPr>
          </w:p>
        </w:tc>
      </w:tr>
      <w:tr>
        <w:trPr>
          <w:trHeight w:val="305"/>
        </w:trPr>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400" w:type="dxa"/>
            <w:vAlign w:val="bottom"/>
            <w:gridSpan w:val="3"/>
          </w:tcPr>
          <w:p>
            <w:pPr>
              <w:jc w:val="center"/>
              <w:ind w:left="4257"/>
              <w:spacing w:after="0"/>
              <w:rPr>
                <w:sz w:val="20"/>
                <w:szCs w:val="20"/>
                <w:color w:val="auto"/>
              </w:rPr>
            </w:pPr>
            <w:r>
              <w:rPr>
                <w:rFonts w:ascii="Arial" w:cs="Arial" w:eastAsia="Arial" w:hAnsi="Arial"/>
                <w:sz w:val="18"/>
                <w:szCs w:val="18"/>
                <w:b w:val="1"/>
                <w:bCs w:val="1"/>
                <w:color w:val="auto"/>
                <w:w w:val="89"/>
              </w:rPr>
              <w:t>33-0174996</w:t>
            </w:r>
          </w:p>
        </w:tc>
      </w:tr>
      <w:tr>
        <w:trPr>
          <w:trHeight w:val="149"/>
        </w:trPr>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7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80" w:type="dxa"/>
            <w:vAlign w:val="bottom"/>
          </w:tcPr>
          <w:p>
            <w:pPr>
              <w:jc w:val="center"/>
              <w:ind w:left="115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7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80" w:type="dxa"/>
            <w:vAlign w:val="bottom"/>
          </w:tcPr>
          <w:p>
            <w:pPr>
              <w:jc w:val="center"/>
              <w:ind w:left="1152"/>
              <w:spacing w:after="0"/>
              <w:rPr>
                <w:sz w:val="20"/>
                <w:szCs w:val="20"/>
                <w:color w:val="auto"/>
              </w:rPr>
            </w:pPr>
            <w:r>
              <w:rPr>
                <w:rFonts w:ascii="Arial" w:cs="Arial" w:eastAsia="Arial" w:hAnsi="Arial"/>
                <w:sz w:val="14"/>
                <w:szCs w:val="14"/>
                <w:b w:val="1"/>
                <w:bCs w:val="1"/>
                <w:color w:val="auto"/>
                <w:w w:val="89"/>
              </w:rPr>
              <w:t>Identification No.)</w:t>
            </w:r>
          </w:p>
        </w:tc>
      </w:tr>
      <w:tr>
        <w:trPr>
          <w:trHeight w:val="364"/>
        </w:trPr>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60" w:type="dxa"/>
            <w:vAlign w:val="bottom"/>
            <w:gridSpan w:val="2"/>
          </w:tcPr>
          <w:p>
            <w:pPr>
              <w:jc w:val="center"/>
              <w:ind w:right="2212"/>
              <w:spacing w:after="0"/>
              <w:rPr>
                <w:sz w:val="20"/>
                <w:szCs w:val="20"/>
                <w:color w:val="auto"/>
              </w:rPr>
            </w:pPr>
            <w:r>
              <w:rPr>
                <w:rFonts w:ascii="Arial" w:cs="Arial" w:eastAsia="Arial" w:hAnsi="Arial"/>
                <w:sz w:val="18"/>
                <w:szCs w:val="18"/>
                <w:b w:val="1"/>
                <w:bCs w:val="1"/>
                <w:color w:val="auto"/>
                <w:w w:val="89"/>
              </w:rPr>
              <w:t>6155 El Camino Real</w:t>
            </w:r>
          </w:p>
        </w:tc>
      </w:tr>
      <w:tr>
        <w:trPr>
          <w:trHeight w:val="216"/>
        </w:trPr>
        <w:tc>
          <w:tcPr>
            <w:tcW w:w="1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60" w:type="dxa"/>
            <w:vAlign w:val="bottom"/>
            <w:gridSpan w:val="2"/>
          </w:tcPr>
          <w:p>
            <w:pPr>
              <w:jc w:val="center"/>
              <w:ind w:right="2192"/>
              <w:spacing w:after="0"/>
              <w:rPr>
                <w:sz w:val="20"/>
                <w:szCs w:val="20"/>
                <w:color w:val="auto"/>
              </w:rPr>
            </w:pPr>
            <w:r>
              <w:rPr>
                <w:rFonts w:ascii="Arial" w:cs="Arial" w:eastAsia="Arial" w:hAnsi="Arial"/>
                <w:sz w:val="18"/>
                <w:szCs w:val="18"/>
                <w:b w:val="1"/>
                <w:bCs w:val="1"/>
                <w:color w:val="auto"/>
                <w:w w:val="90"/>
              </w:rPr>
              <w:t>Carlsbad, California 92009</w:t>
            </w:r>
          </w:p>
        </w:tc>
      </w:tr>
      <w:tr>
        <w:trPr>
          <w:trHeight w:val="218"/>
        </w:trPr>
        <w:tc>
          <w:tcPr>
            <w:tcW w:w="1760" w:type="dxa"/>
            <w:vAlign w:val="bottom"/>
          </w:tcPr>
          <w:p>
            <w:pPr>
              <w:spacing w:after="0"/>
              <w:rPr>
                <w:sz w:val="18"/>
                <w:szCs w:val="18"/>
                <w:color w:val="auto"/>
              </w:rPr>
            </w:pPr>
          </w:p>
        </w:tc>
        <w:tc>
          <w:tcPr>
            <w:tcW w:w="3120" w:type="dxa"/>
            <w:vAlign w:val="bottom"/>
            <w:gridSpan w:val="2"/>
          </w:tcPr>
          <w:p>
            <w:pPr>
              <w:jc w:val="center"/>
              <w:ind w:left="657"/>
              <w:spacing w:after="0"/>
              <w:rPr>
                <w:sz w:val="20"/>
                <w:szCs w:val="20"/>
                <w:color w:val="auto"/>
              </w:rPr>
            </w:pPr>
            <w:r>
              <w:rPr>
                <w:rFonts w:ascii="Arial" w:cs="Arial" w:eastAsia="Arial" w:hAnsi="Arial"/>
                <w:sz w:val="18"/>
                <w:szCs w:val="18"/>
                <w:b w:val="1"/>
                <w:bCs w:val="1"/>
                <w:color w:val="auto"/>
                <w:w w:val="89"/>
              </w:rPr>
              <w:t>(760) 476-2200</w:t>
            </w:r>
          </w:p>
        </w:tc>
        <w:tc>
          <w:tcPr>
            <w:tcW w:w="2280" w:type="dxa"/>
            <w:vAlign w:val="bottom"/>
          </w:tcPr>
          <w:p>
            <w:pPr>
              <w:spacing w:after="0"/>
              <w:rPr>
                <w:sz w:val="18"/>
                <w:szCs w:val="18"/>
                <w:color w:val="auto"/>
              </w:rPr>
            </w:pPr>
          </w:p>
        </w:tc>
      </w:tr>
      <w:tr>
        <w:trPr>
          <w:trHeight w:val="174"/>
        </w:trPr>
        <w:tc>
          <w:tcPr>
            <w:tcW w:w="1760" w:type="dxa"/>
            <w:vAlign w:val="bottom"/>
          </w:tcPr>
          <w:p>
            <w:pPr>
              <w:spacing w:after="0"/>
              <w:rPr>
                <w:sz w:val="15"/>
                <w:szCs w:val="15"/>
                <w:color w:val="auto"/>
              </w:rPr>
            </w:pPr>
          </w:p>
        </w:tc>
        <w:tc>
          <w:tcPr>
            <w:tcW w:w="5400" w:type="dxa"/>
            <w:vAlign w:val="bottom"/>
            <w:gridSpan w:val="3"/>
          </w:tcPr>
          <w:p>
            <w:pPr>
              <w:jc w:val="center"/>
              <w:ind w:right="1452"/>
              <w:spacing w:after="0"/>
              <w:rPr>
                <w:sz w:val="20"/>
                <w:szCs w:val="20"/>
                <w:color w:val="auto"/>
              </w:rPr>
            </w:pPr>
            <w:r>
              <w:rPr>
                <w:rFonts w:ascii="Arial" w:cs="Arial" w:eastAsia="Arial" w:hAnsi="Arial"/>
                <w:sz w:val="14"/>
                <w:szCs w:val="14"/>
                <w:b w:val="1"/>
                <w:bCs w:val="1"/>
                <w:color w:val="auto"/>
                <w:w w:val="85"/>
              </w:rPr>
              <w:t>(Address of principal executive offices and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6" w:lineRule="exact"/>
        <w:rPr>
          <w:sz w:val="24"/>
          <w:szCs w:val="24"/>
          <w:color w:val="auto"/>
        </w:rPr>
      </w:pPr>
    </w:p>
    <w:p>
      <w:pPr>
        <w:ind w:right="22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80" w:firstLine="456"/>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8"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53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860" w:type="dxa"/>
            <w:vAlign w:val="bottom"/>
          </w:tcPr>
          <w:p>
            <w:pPr>
              <w:ind w:left="17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534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60" w:type="dxa"/>
            <w:vAlign w:val="bottom"/>
          </w:tcPr>
          <w:p>
            <w:pPr>
              <w:ind w:left="1720"/>
              <w:spacing w:after="0"/>
              <w:rPr>
                <w:sz w:val="20"/>
                <w:szCs w:val="20"/>
                <w:color w:val="auto"/>
              </w:rPr>
            </w:pPr>
            <w:r>
              <w:rPr>
                <w:rFonts w:ascii="Arial" w:cs="Arial" w:eastAsia="Arial" w:hAnsi="Arial"/>
                <w:sz w:val="18"/>
                <w:szCs w:val="18"/>
                <w:color w:val="auto"/>
                <w:w w:val="98"/>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860" w:type="dxa"/>
            <w:vAlign w:val="bottom"/>
          </w:tcPr>
          <w:p>
            <w:pPr>
              <w:ind w:left="1720"/>
              <w:spacing w:after="0"/>
              <w:rPr>
                <w:sz w:val="20"/>
                <w:szCs w:val="20"/>
                <w:color w:val="auto"/>
              </w:rPr>
            </w:pPr>
            <w:r>
              <w:rPr>
                <w:rFonts w:ascii="Arial" w:cs="Arial" w:eastAsia="Arial" w:hAnsi="Arial"/>
                <w:sz w:val="18"/>
                <w:szCs w:val="18"/>
                <w:color w:val="auto"/>
                <w:w w:val="99"/>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36" w:lineRule="exact"/>
        <w:rPr>
          <w:sz w:val="24"/>
          <w:szCs w:val="24"/>
          <w:color w:val="auto"/>
        </w:rPr>
      </w:pPr>
    </w:p>
    <w:p>
      <w:pPr>
        <w:ind w:right="100" w:firstLine="456"/>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5" w:lineRule="exact"/>
        <w:rPr>
          <w:sz w:val="24"/>
          <w:szCs w:val="24"/>
          <w:color w:val="auto"/>
        </w:rPr>
      </w:pPr>
    </w:p>
    <w:p>
      <w:pPr>
        <w:ind w:left="460" w:right="1620"/>
        <w:spacing w:after="0" w:line="31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outstanding of the registrant’s common stock, $0.0001 par value, as of October 27, 2017 was 58,237,198.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gridSpan w:val="10"/>
            <w:vMerge w:val="restart"/>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8080" w:type="dxa"/>
            <w:vAlign w:val="bottom"/>
            <w:gridSpan w:val="8"/>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3000" w:type="dxa"/>
            <w:vAlign w:val="bottom"/>
            <w:tcBorders>
              <w:bottom w:val="single" w:sz="8" w:color="0000EE"/>
            </w:tcBorders>
            <w:gridSpan w:val="10"/>
            <w:vMerge w:val="continue"/>
          </w:tcPr>
          <w:p>
            <w:pPr>
              <w:spacing w:after="0"/>
              <w:rPr>
                <w:sz w:val="13"/>
                <w:szCs w:val="13"/>
                <w:color w:val="auto"/>
              </w:rPr>
            </w:pPr>
          </w:p>
        </w:tc>
        <w:tc>
          <w:tcPr>
            <w:tcW w:w="8080" w:type="dxa"/>
            <w:vAlign w:val="bottom"/>
            <w:gridSpan w:val="8"/>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8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40" w:type="dxa"/>
            <w:vAlign w:val="bottom"/>
            <w:gridSpan w:val="1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08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and Comprehensive Income (Loss)</w:t>
              </w:r>
            </w:hyperlink>
          </w:p>
        </w:tc>
        <w:tc>
          <w:tcPr>
            <w:tcW w:w="456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4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 of Equity</w:t>
              </w:r>
            </w:hyperlink>
          </w:p>
        </w:tc>
        <w:tc>
          <w:tcPr>
            <w:tcW w:w="420" w:type="dxa"/>
            <w:vAlign w:val="bottom"/>
            <w:tcBorders>
              <w:top w:val="single" w:sz="8" w:color="0000EE"/>
            </w:tcBorders>
          </w:tcPr>
          <w:p>
            <w:pPr>
              <w:spacing w:after="0"/>
              <w:rPr>
                <w:sz w:val="17"/>
                <w:szCs w:val="17"/>
                <w:color w:val="auto"/>
              </w:rPr>
            </w:pPr>
          </w:p>
        </w:tc>
        <w:tc>
          <w:tcPr>
            <w:tcW w:w="702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16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7">
              <w:r>
                <w:rPr>
                  <w:rFonts w:ascii="Arial" w:cs="Arial" w:eastAsia="Arial" w:hAnsi="Arial"/>
                  <w:sz w:val="18"/>
                  <w:szCs w:val="18"/>
                  <w:color w:val="0000EE"/>
                  <w:w w:val="86"/>
                </w:rPr>
                <w:t>Notes to the Condensed Consolidated Financial Statements</w:t>
              </w:r>
            </w:hyperlink>
          </w:p>
        </w:tc>
        <w:tc>
          <w:tcPr>
            <w:tcW w:w="648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080" w:type="dxa"/>
            <w:vAlign w:val="bottom"/>
            <w:gridSpan w:val="1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Item 3.</w:t>
              </w:r>
            </w:hyperlink>
          </w:p>
        </w:tc>
        <w:tc>
          <w:tcPr>
            <w:tcW w:w="6320" w:type="dxa"/>
            <w:vAlign w:val="bottom"/>
            <w:tcBorders>
              <w:top w:val="single" w:sz="8" w:color="0000EE"/>
            </w:tcBorders>
            <w:gridSpan w:val="15"/>
          </w:tcPr>
          <w:p>
            <w:pPr>
              <w:ind w:left="20"/>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42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Item 4.</w:t>
              </w:r>
            </w:hyperlink>
          </w:p>
        </w:tc>
        <w:tc>
          <w:tcPr>
            <w:tcW w:w="1760" w:type="dxa"/>
            <w:vAlign w:val="bottom"/>
            <w:tcBorders>
              <w:top w:val="single" w:sz="8" w:color="0000EE"/>
              <w:bottom w:val="single" w:sz="8" w:color="0000EE"/>
            </w:tcBorders>
            <w:gridSpan w:val="5"/>
          </w:tcPr>
          <w:p>
            <w:pPr>
              <w:ind w:left="20"/>
              <w:spacing w:after="0" w:line="196" w:lineRule="exact"/>
              <w:rPr>
                <w:rFonts w:ascii="Arial" w:cs="Arial" w:eastAsia="Arial" w:hAnsi="Arial"/>
                <w:sz w:val="18"/>
                <w:szCs w:val="18"/>
                <w:color w:val="0000EE"/>
                <w:w w:val="86"/>
              </w:rPr>
            </w:pPr>
            <w:hyperlink w:anchor="page48">
              <w:r>
                <w:rPr>
                  <w:rFonts w:ascii="Arial" w:cs="Arial" w:eastAsia="Arial" w:hAnsi="Arial"/>
                  <w:sz w:val="18"/>
                  <w:szCs w:val="18"/>
                  <w:color w:val="0000EE"/>
                  <w:w w:val="86"/>
                </w:rPr>
                <w:t>Controls and Procedures</w:t>
              </w:r>
            </w:hyperlink>
          </w:p>
        </w:tc>
        <w:tc>
          <w:tcPr>
            <w:tcW w:w="2520" w:type="dxa"/>
            <w:vAlign w:val="bottom"/>
            <w:tcBorders>
              <w:top w:val="single" w:sz="8" w:color="0000EE"/>
            </w:tcBorders>
            <w:gridSpan w:val="8"/>
          </w:tcPr>
          <w:p>
            <w:pPr>
              <w:spacing w:after="0"/>
              <w:rPr>
                <w:sz w:val="17"/>
                <w:szCs w:val="17"/>
                <w:color w:val="auto"/>
              </w:rPr>
            </w:pPr>
          </w:p>
        </w:tc>
        <w:tc>
          <w:tcPr>
            <w:tcW w:w="628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1080" w:type="dxa"/>
            <w:vAlign w:val="bottom"/>
            <w:gridSpan w:val="18"/>
          </w:tcPr>
          <w:p>
            <w:pPr>
              <w:spacing w:after="0" w:line="196"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PART II. OTHER INFORMATION</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Item 1.</w:t>
              </w:r>
            </w:hyperlink>
          </w:p>
        </w:tc>
        <w:tc>
          <w:tcPr>
            <w:tcW w:w="1340" w:type="dxa"/>
            <w:vAlign w:val="bottom"/>
            <w:tcBorders>
              <w:top w:val="single" w:sz="8" w:color="0000EE"/>
              <w:bottom w:val="single" w:sz="8" w:color="0000EE"/>
            </w:tcBorders>
            <w:gridSpan w:val="4"/>
          </w:tcPr>
          <w:p>
            <w:pPr>
              <w:ind w:left="20"/>
              <w:spacing w:after="0" w:line="196" w:lineRule="exact"/>
              <w:rPr>
                <w:rFonts w:ascii="Arial" w:cs="Arial" w:eastAsia="Arial" w:hAnsi="Arial"/>
                <w:sz w:val="18"/>
                <w:szCs w:val="18"/>
                <w:color w:val="0000EE"/>
                <w:w w:val="87"/>
              </w:rPr>
            </w:pPr>
            <w:hyperlink w:anchor="page49">
              <w:r>
                <w:rPr>
                  <w:rFonts w:ascii="Arial" w:cs="Arial" w:eastAsia="Arial" w:hAnsi="Arial"/>
                  <w:sz w:val="18"/>
                  <w:szCs w:val="18"/>
                  <w:color w:val="0000EE"/>
                  <w:w w:val="87"/>
                </w:rPr>
                <w:t>Legal Proceedings</w:t>
              </w:r>
            </w:hyperlink>
          </w:p>
        </w:tc>
        <w:tc>
          <w:tcPr>
            <w:tcW w:w="840" w:type="dxa"/>
            <w:vAlign w:val="bottom"/>
            <w:tcBorders>
              <w:top w:val="single" w:sz="8" w:color="0000EE"/>
            </w:tcBorders>
            <w:gridSpan w:val="2"/>
          </w:tcPr>
          <w:p>
            <w:pPr>
              <w:spacing w:after="0"/>
              <w:rPr>
                <w:sz w:val="17"/>
                <w:szCs w:val="17"/>
                <w:color w:val="auto"/>
              </w:rPr>
            </w:pPr>
          </w:p>
        </w:tc>
        <w:tc>
          <w:tcPr>
            <w:tcW w:w="838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Item 1A. Risk Factors</w:t>
              </w:r>
            </w:hyperlink>
          </w:p>
        </w:tc>
        <w:tc>
          <w:tcPr>
            <w:tcW w:w="952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Item 6.</w:t>
              </w:r>
            </w:hyperlink>
          </w:p>
        </w:tc>
        <w:tc>
          <w:tcPr>
            <w:tcW w:w="62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91"/>
              </w:rPr>
            </w:pPr>
            <w:hyperlink w:anchor="page49">
              <w:r>
                <w:rPr>
                  <w:rFonts w:ascii="Arial" w:cs="Arial" w:eastAsia="Arial" w:hAnsi="Arial"/>
                  <w:sz w:val="18"/>
                  <w:szCs w:val="18"/>
                  <w:color w:val="0000EE"/>
                  <w:w w:val="91"/>
                </w:rPr>
                <w:t>Exhibits</w:t>
              </w:r>
            </w:hyperlink>
          </w:p>
        </w:tc>
        <w:tc>
          <w:tcPr>
            <w:tcW w:w="994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1080" w:type="dxa"/>
            <w:vAlign w:val="bottom"/>
            <w:gridSpan w:val="18"/>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Signatures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34"/>
              <w:spacing w:after="0"/>
              <w:rPr>
                <w:sz w:val="20"/>
                <w:szCs w:val="20"/>
                <w:color w:val="auto"/>
              </w:rPr>
            </w:pPr>
            <w:r>
              <w:rPr>
                <w:rFonts w:ascii="Arial" w:cs="Arial" w:eastAsia="Arial" w:hAnsi="Arial"/>
                <w:sz w:val="14"/>
                <w:szCs w:val="14"/>
                <w:b w:val="1"/>
                <w:bCs w:val="1"/>
                <w:color w:val="auto"/>
              </w:rPr>
              <w:t>As of</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85"/>
              </w:rPr>
              <w:t>September 30, 2017</w:t>
            </w:r>
          </w:p>
        </w:tc>
        <w:tc>
          <w:tcPr>
            <w:tcW w:w="58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March 31, 2017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3"/>
          </w:tcPr>
          <w:p>
            <w:pPr>
              <w:ind w:left="64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7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242,708</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251,879</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263,721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181,399</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163,201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72,389</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748,375</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614,856</w:t>
            </w:r>
          </w:p>
        </w:tc>
        <w:tc>
          <w:tcPr>
            <w:tcW w:w="0" w:type="dxa"/>
            <w:vAlign w:val="bottom"/>
          </w:tcPr>
          <w:p>
            <w:pPr>
              <w:spacing w:after="0"/>
              <w:rPr>
                <w:sz w:val="1"/>
                <w:szCs w:val="1"/>
                <w:color w:val="auto"/>
              </w:rPr>
            </w:pPr>
          </w:p>
        </w:tc>
      </w:tr>
      <w:tr>
        <w:trPr>
          <w:trHeight w:val="322"/>
        </w:trPr>
        <w:tc>
          <w:tcPr>
            <w:tcW w:w="8680" w:type="dxa"/>
            <w:vAlign w:val="bottom"/>
            <w:gridSpan w:val="2"/>
          </w:tcPr>
          <w:p>
            <w:pPr>
              <w:spacing w:after="0"/>
              <w:rPr>
                <w:sz w:val="20"/>
                <w:szCs w:val="20"/>
                <w:color w:val="auto"/>
              </w:rPr>
            </w:pPr>
            <w:r>
              <w:rPr>
                <w:rFonts w:ascii="Arial" w:cs="Arial" w:eastAsia="Arial" w:hAnsi="Arial"/>
                <w:sz w:val="18"/>
                <w:szCs w:val="18"/>
                <w:color w:val="auto"/>
              </w:rPr>
              <w:t>Satellites, net</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1,162,851</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1,108,270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577,517</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Other acquired intangible assets, net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36,796</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41,677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120,592</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119,876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642,090</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3,288,221</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2,954,653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vMerge w:val="restart"/>
          </w:tcPr>
          <w:p>
            <w:pPr>
              <w:ind w:left="29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101,052</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100,270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207,000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224,959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22,945</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330,997</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325,517</w:t>
            </w:r>
          </w:p>
        </w:tc>
        <w:tc>
          <w:tcPr>
            <w:tcW w:w="0" w:type="dxa"/>
            <w:vAlign w:val="bottom"/>
          </w:tcPr>
          <w:p>
            <w:pPr>
              <w:spacing w:after="0"/>
              <w:rPr>
                <w:sz w:val="1"/>
                <w:szCs w:val="1"/>
                <w:color w:val="auto"/>
              </w:rPr>
            </w:pPr>
          </w:p>
        </w:tc>
      </w:tr>
      <w:tr>
        <w:trPr>
          <w:trHeight w:val="322"/>
        </w:trPr>
        <w:tc>
          <w:tcPr>
            <w:tcW w:w="8680" w:type="dxa"/>
            <w:vAlign w:val="bottom"/>
            <w:gridSpan w:val="2"/>
          </w:tcPr>
          <w:p>
            <w:pPr>
              <w:spacing w:after="0"/>
              <w:rPr>
                <w:sz w:val="20"/>
                <w:szCs w:val="20"/>
                <w:color w:val="auto"/>
              </w:rPr>
            </w:pPr>
            <w:r>
              <w:rPr>
                <w:rFonts w:ascii="Arial" w:cs="Arial" w:eastAsia="Arial" w:hAnsi="Arial"/>
                <w:sz w:val="18"/>
                <w:szCs w:val="18"/>
                <w:color w:val="auto"/>
              </w:rPr>
              <w:t>Senior notes</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690,270</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575,380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306,202</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273,103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112,979</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1,440,448</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1,216,722</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6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Equity:</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ViaSat, Inc. stockholders’ equity</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Paid-in capital</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1,504,630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1,439,645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332,754</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297,471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7,451</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Total ViaSat, Inc. stockholders’ equity</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1,844,841</w:t>
            </w: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1,734,618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in subsidiaries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1,847,773</w:t>
            </w:r>
          </w:p>
        </w:tc>
        <w:tc>
          <w:tcPr>
            <w:tcW w:w="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1,737,931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equity</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3,288,221</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2,954,653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w w:val="90"/>
              </w:rPr>
              <w:t>Three Months Ended</w:t>
            </w:r>
          </w:p>
        </w:tc>
        <w:tc>
          <w:tcPr>
            <w:tcW w:w="8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50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September 30, 2017</w:t>
            </w: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September 30, 2016</w:t>
            </w: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September 30, 2017</w:t>
            </w: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September 30, 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60" w:type="dxa"/>
            <w:vAlign w:val="bottom"/>
            <w:gridSpan w:val="6"/>
          </w:tcPr>
          <w:p>
            <w:pPr>
              <w:jc w:val="right"/>
              <w:ind w:right="760"/>
              <w:spacing w:after="0" w:line="142" w:lineRule="exact"/>
              <w:rPr>
                <w:sz w:val="20"/>
                <w:szCs w:val="20"/>
                <w:color w:val="auto"/>
              </w:rPr>
            </w:pPr>
            <w:r>
              <w:rPr>
                <w:rFonts w:ascii="Arial" w:cs="Arial" w:eastAsia="Arial" w:hAnsi="Arial"/>
                <w:sz w:val="14"/>
                <w:szCs w:val="14"/>
                <w:b w:val="1"/>
                <w:bCs w:val="1"/>
                <w:color w:val="auto"/>
                <w:w w:val="87"/>
              </w:rPr>
              <w:t>(In thousands, except per share data)</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Product revenues</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181,783</w:t>
            </w: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187,235</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347,901</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347,911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revenues</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211,291</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211,923</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425,217</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414,377</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8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393,074</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399,158</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773,118</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762,288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Cost of product revenues</w:t>
            </w:r>
          </w:p>
        </w:tc>
        <w:tc>
          <w:tcPr>
            <w:tcW w:w="3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133,850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136,825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256,495</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257,505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revenues</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135,412</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134,241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273,263</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90,084</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77,224</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179,257</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156,624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Independent research and development</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46,268</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30,177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91,333</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3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3,320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2,277</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6,580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4,790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(15,860)</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18,414</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(33,810)</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177</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229</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270</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(197)</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(4,308)</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(253)</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(10,217)</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(10,217)</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(Loss) income before income taxes</w:t>
            </w: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8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(26,097)</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14,335</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(44,010)</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17,302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11,464</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(3,596)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20,644</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Equity in income of unconsolidated affiliate, net</w:t>
            </w:r>
          </w:p>
        </w:tc>
        <w:tc>
          <w:tcPr>
            <w:tcW w:w="3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741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228</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(13,892)</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10,739</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(23,138)</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Less: net (loss) income attributable to noncontrolling</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interests, net of tax</w:t>
            </w:r>
          </w:p>
        </w:tc>
        <w:tc>
          <w:tcPr>
            <w:tcW w:w="34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(203)</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(280)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(410)</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ViaSat, Inc.</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(13,689)</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11,019</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(22,728)</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12,874</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w w:val="99"/>
              </w:rPr>
              <w:t>Basic net (loss) income per share attributable to ViaSat, Inc.</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47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common stockholders</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(0.24)</w:t>
            </w: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0.22</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(0.39)</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income per share attributable to ViaSat,</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 common stockholders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(0.24)</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0.22</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(0.39)</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w w:val="99"/>
              </w:rPr>
              <w:t>Shares used in computing basic net (loss) income per share</w:t>
            </w:r>
          </w:p>
        </w:tc>
        <w:tc>
          <w:tcPr>
            <w:tcW w:w="3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58,229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49,503</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58,039</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49,319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diluted net (loss) income per</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58,229</w:t>
            </w: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50,533</w:t>
            </w: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58,039</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50,393</w:t>
            </w:r>
          </w:p>
        </w:tc>
        <w:tc>
          <w:tcPr>
            <w:tcW w:w="0" w:type="dxa"/>
            <w:vAlign w:val="bottom"/>
          </w:tcPr>
          <w:p>
            <w:pPr>
              <w:spacing w:after="0"/>
              <w:rPr>
                <w:sz w:val="1"/>
                <w:szCs w:val="1"/>
                <w:color w:val="auto"/>
              </w:rPr>
            </w:pPr>
          </w:p>
        </w:tc>
      </w:tr>
      <w:tr>
        <w:trPr>
          <w:trHeight w:val="322"/>
        </w:trPr>
        <w:tc>
          <w:tcPr>
            <w:tcW w:w="478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(13,892)</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10,739</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(23,138)</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(loss) on hedging, net of tax</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adjustments, net of tax</w:t>
            </w:r>
          </w:p>
        </w:tc>
        <w:tc>
          <w:tcPr>
            <w:tcW w:w="3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6,321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(175)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9,846</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6,338</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9,955</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Comprehensive (loss) income</w:t>
            </w: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8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(7,554)</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10,585</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(13,183)</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11,878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Less: comprehensive (loss) income attributable to</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noncontrolling interests, net of tax</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(203)</w:t>
            </w: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(280)</w:t>
            </w: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(410)</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Comprehensive (loss) income attributable to ViaSat, Inc.</w:t>
            </w: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80" w:type="dxa"/>
            <w:vAlign w:val="bottom"/>
            <w:gridSpan w:val="2"/>
            <w:vMerge w:val="continue"/>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(7,351)</w:t>
            </w: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10,865</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(12,773)</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11,856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September 30, 2017</w:t>
            </w:r>
          </w:p>
        </w:tc>
        <w:tc>
          <w:tcPr>
            <w:tcW w:w="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September 30, 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Net (loss) income</w:t>
            </w: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752"/>
              <w:spacing w:after="0"/>
              <w:rPr>
                <w:sz w:val="20"/>
                <w:szCs w:val="20"/>
                <w:color w:val="auto"/>
              </w:rPr>
            </w:pPr>
            <w:r>
              <w:rPr>
                <w:rFonts w:ascii="Arial" w:cs="Arial" w:eastAsia="Arial" w:hAnsi="Arial"/>
                <w:sz w:val="18"/>
                <w:szCs w:val="18"/>
                <w:color w:val="auto"/>
              </w:rPr>
              <w:t>(23,138)</w:t>
            </w:r>
          </w:p>
        </w:tc>
        <w:tc>
          <w:tcPr>
            <w:tcW w:w="320" w:type="dxa"/>
            <w:vAlign w:val="bottom"/>
            <w:gridSpan w:val="2"/>
          </w:tcPr>
          <w:p>
            <w:pPr>
              <w:jc w:val="right"/>
              <w:ind w:right="15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12,896</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(loss) income to net cash provided by operating activities: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880"/>
              <w:spacing w:after="0"/>
              <w:rPr>
                <w:sz w:val="20"/>
                <w:szCs w:val="20"/>
                <w:color w:val="auto"/>
              </w:rPr>
            </w:pPr>
            <w:r>
              <w:rPr>
                <w:rFonts w:ascii="Arial" w:cs="Arial" w:eastAsia="Arial" w:hAnsi="Arial"/>
                <w:sz w:val="18"/>
                <w:szCs w:val="18"/>
                <w:color w:val="auto"/>
              </w:rPr>
              <w:t>Depreciation</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812"/>
              <w:spacing w:after="0"/>
              <w:rPr>
                <w:sz w:val="20"/>
                <w:szCs w:val="20"/>
                <w:color w:val="auto"/>
              </w:rPr>
            </w:pPr>
            <w:r>
              <w:rPr>
                <w:rFonts w:ascii="Arial" w:cs="Arial" w:eastAsia="Arial" w:hAnsi="Arial"/>
                <w:sz w:val="18"/>
                <w:szCs w:val="18"/>
                <w:color w:val="auto"/>
              </w:rPr>
              <w:t>101,659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100,541</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Amortization of intangible assets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23,150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21,279</w:t>
            </w:r>
          </w:p>
        </w:tc>
        <w:tc>
          <w:tcPr>
            <w:tcW w:w="0" w:type="dxa"/>
            <w:vAlign w:val="bottom"/>
          </w:tcPr>
          <w:p>
            <w:pPr>
              <w:spacing w:after="0"/>
              <w:rPr>
                <w:sz w:val="1"/>
                <w:szCs w:val="1"/>
                <w:color w:val="auto"/>
              </w:rPr>
            </w:pPr>
          </w:p>
        </w:tc>
      </w:tr>
      <w:tr>
        <w:trPr>
          <w:trHeight w:val="216"/>
        </w:trPr>
        <w:tc>
          <w:tcPr>
            <w:tcW w:w="7740" w:type="dxa"/>
            <w:vAlign w:val="bottom"/>
          </w:tcPr>
          <w:p>
            <w:pPr>
              <w:ind w:left="880"/>
              <w:spacing w:after="0"/>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752"/>
              <w:spacing w:after="0"/>
              <w:rPr>
                <w:sz w:val="20"/>
                <w:szCs w:val="20"/>
                <w:color w:val="auto"/>
              </w:rPr>
            </w:pPr>
            <w:r>
              <w:rPr>
                <w:rFonts w:ascii="Arial" w:cs="Arial" w:eastAsia="Arial" w:hAnsi="Arial"/>
                <w:sz w:val="18"/>
                <w:szCs w:val="18"/>
                <w:color w:val="auto"/>
              </w:rPr>
              <w:t>(21,313)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Equity in income of unconsolidated affiliate, net</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(228)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tcPr>
          <w:p>
            <w:pPr>
              <w:ind w:left="880"/>
              <w:spacing w:after="0"/>
              <w:rPr>
                <w:sz w:val="20"/>
                <w:szCs w:val="20"/>
                <w:color w:val="auto"/>
              </w:rPr>
            </w:pPr>
            <w:r>
              <w:rPr>
                <w:rFonts w:ascii="Arial" w:cs="Arial" w:eastAsia="Arial" w:hAnsi="Arial"/>
                <w:sz w:val="18"/>
                <w:szCs w:val="18"/>
                <w:color w:val="auto"/>
              </w:rPr>
              <w:t>Stock-based compensation expense</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812"/>
              <w:spacing w:after="0"/>
              <w:rPr>
                <w:sz w:val="20"/>
                <w:szCs w:val="20"/>
                <w:color w:val="auto"/>
              </w:rPr>
            </w:pPr>
            <w:r>
              <w:rPr>
                <w:rFonts w:ascii="Arial" w:cs="Arial" w:eastAsia="Arial" w:hAnsi="Arial"/>
                <w:sz w:val="18"/>
                <w:szCs w:val="18"/>
                <w:color w:val="auto"/>
              </w:rPr>
              <w:t>31,490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25,418</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Loss on disposition of fixed assets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17,853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17,812</w:t>
            </w:r>
          </w:p>
        </w:tc>
        <w:tc>
          <w:tcPr>
            <w:tcW w:w="0" w:type="dxa"/>
            <w:vAlign w:val="bottom"/>
          </w:tcPr>
          <w:p>
            <w:pPr>
              <w:spacing w:after="0"/>
              <w:rPr>
                <w:sz w:val="1"/>
                <w:szCs w:val="1"/>
                <w:color w:val="auto"/>
              </w:rPr>
            </w:pPr>
          </w:p>
        </w:tc>
      </w:tr>
      <w:tr>
        <w:trPr>
          <w:trHeight w:val="216"/>
        </w:trPr>
        <w:tc>
          <w:tcPr>
            <w:tcW w:w="7740" w:type="dxa"/>
            <w:vAlign w:val="bottom"/>
          </w:tcPr>
          <w:p>
            <w:pPr>
              <w:ind w:left="880"/>
              <w:spacing w:after="0"/>
              <w:rPr>
                <w:sz w:val="20"/>
                <w:szCs w:val="20"/>
                <w:color w:val="auto"/>
              </w:rPr>
            </w:pPr>
            <w:r>
              <w:rPr>
                <w:rFonts w:ascii="Arial" w:cs="Arial" w:eastAsia="Arial" w:hAnsi="Arial"/>
                <w:sz w:val="18"/>
                <w:szCs w:val="18"/>
                <w:color w:val="auto"/>
              </w:rPr>
              <w:t>Loss on extinguishment of debt</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812"/>
              <w:spacing w:after="0"/>
              <w:rPr>
                <w:sz w:val="20"/>
                <w:szCs w:val="20"/>
                <w:color w:val="auto"/>
              </w:rPr>
            </w:pPr>
            <w:r>
              <w:rPr>
                <w:rFonts w:ascii="Arial" w:cs="Arial" w:eastAsia="Arial" w:hAnsi="Arial"/>
                <w:sz w:val="18"/>
                <w:szCs w:val="18"/>
                <w:color w:val="auto"/>
              </w:rPr>
              <w:t>10,217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non-cash adjustments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4,481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4,895</w:t>
            </w:r>
          </w:p>
        </w:tc>
        <w:tc>
          <w:tcPr>
            <w:tcW w:w="0" w:type="dxa"/>
            <w:vAlign w:val="bottom"/>
          </w:tcPr>
          <w:p>
            <w:pPr>
              <w:spacing w:after="0"/>
              <w:rPr>
                <w:sz w:val="1"/>
                <w:szCs w:val="1"/>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Increase (decrease) in cash resulting from changes in operating assets and liabilities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receivable</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7,657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6,494</w:t>
            </w:r>
          </w:p>
        </w:tc>
        <w:tc>
          <w:tcPr>
            <w:tcW w:w="0" w:type="dxa"/>
            <w:vAlign w:val="bottom"/>
          </w:tcPr>
          <w:p>
            <w:pPr>
              <w:spacing w:after="0"/>
              <w:rPr>
                <w:sz w:val="1"/>
                <w:szCs w:val="1"/>
                <w:color w:val="auto"/>
              </w:rPr>
            </w:pPr>
          </w:p>
        </w:tc>
      </w:tr>
      <w:tr>
        <w:trPr>
          <w:trHeight w:val="216"/>
        </w:trPr>
        <w:tc>
          <w:tcPr>
            <w:tcW w:w="7740" w:type="dxa"/>
            <w:vAlign w:val="bottom"/>
          </w:tcPr>
          <w:p>
            <w:pPr>
              <w:ind w:left="880"/>
              <w:spacing w:after="0"/>
              <w:rPr>
                <w:sz w:val="20"/>
                <w:szCs w:val="20"/>
                <w:color w:val="auto"/>
              </w:rPr>
            </w:pPr>
            <w:r>
              <w:rPr>
                <w:rFonts w:ascii="Arial" w:cs="Arial" w:eastAsia="Arial" w:hAnsi="Arial"/>
                <w:sz w:val="18"/>
                <w:szCs w:val="18"/>
                <w:color w:val="auto"/>
              </w:rPr>
              <w:t>Inventories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752"/>
              <w:spacing w:after="0"/>
              <w:rPr>
                <w:sz w:val="20"/>
                <w:szCs w:val="20"/>
                <w:color w:val="auto"/>
              </w:rPr>
            </w:pPr>
            <w:r>
              <w:rPr>
                <w:rFonts w:ascii="Arial" w:cs="Arial" w:eastAsia="Arial" w:hAnsi="Arial"/>
                <w:sz w:val="18"/>
                <w:szCs w:val="18"/>
                <w:color w:val="auto"/>
              </w:rPr>
              <w:t>(12,455)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assets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(18,277)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(5,907)</w:t>
            </w:r>
          </w:p>
        </w:tc>
        <w:tc>
          <w:tcPr>
            <w:tcW w:w="0" w:type="dxa"/>
            <w:vAlign w:val="bottom"/>
          </w:tcPr>
          <w:p>
            <w:pPr>
              <w:spacing w:after="0"/>
              <w:rPr>
                <w:sz w:val="1"/>
                <w:szCs w:val="1"/>
                <w:color w:val="auto"/>
              </w:rPr>
            </w:pPr>
          </w:p>
        </w:tc>
      </w:tr>
      <w:tr>
        <w:trPr>
          <w:trHeight w:val="216"/>
        </w:trPr>
        <w:tc>
          <w:tcPr>
            <w:tcW w:w="7740" w:type="dxa"/>
            <w:vAlign w:val="bottom"/>
          </w:tcPr>
          <w:p>
            <w:pPr>
              <w:ind w:left="880"/>
              <w:spacing w:after="0"/>
              <w:rPr>
                <w:sz w:val="20"/>
                <w:szCs w:val="20"/>
                <w:color w:val="auto"/>
              </w:rPr>
            </w:pPr>
            <w:r>
              <w:rPr>
                <w:rFonts w:ascii="Arial" w:cs="Arial" w:eastAsia="Arial" w:hAnsi="Arial"/>
                <w:sz w:val="18"/>
                <w:szCs w:val="18"/>
                <w:color w:val="auto"/>
              </w:rPr>
              <w:t>Accounts payable</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752"/>
              <w:spacing w:after="0"/>
              <w:rPr>
                <w:sz w:val="20"/>
                <w:szCs w:val="20"/>
                <w:color w:val="auto"/>
              </w:rPr>
            </w:pPr>
            <w:r>
              <w:rPr>
                <w:rFonts w:ascii="Arial" w:cs="Arial" w:eastAsia="Arial" w:hAnsi="Arial"/>
                <w:sz w:val="18"/>
                <w:szCs w:val="18"/>
                <w:color w:val="auto"/>
              </w:rPr>
              <w:t>(7,744)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(8,876)</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Accrued liabilities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5,984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13,404</w:t>
            </w:r>
          </w:p>
        </w:tc>
        <w:tc>
          <w:tcPr>
            <w:tcW w:w="0" w:type="dxa"/>
            <w:vAlign w:val="bottom"/>
          </w:tcPr>
          <w:p>
            <w:pPr>
              <w:spacing w:after="0"/>
              <w:rPr>
                <w:sz w:val="1"/>
                <w:szCs w:val="1"/>
                <w:color w:val="auto"/>
              </w:rPr>
            </w:pPr>
          </w:p>
        </w:tc>
      </w:tr>
      <w:tr>
        <w:trPr>
          <w:trHeight w:val="216"/>
        </w:trPr>
        <w:tc>
          <w:tcPr>
            <w:tcW w:w="7740" w:type="dxa"/>
            <w:vAlign w:val="bottom"/>
          </w:tcPr>
          <w:p>
            <w:pPr>
              <w:ind w:left="880"/>
              <w:spacing w:after="0"/>
              <w:rPr>
                <w:sz w:val="20"/>
                <w:szCs w:val="20"/>
                <w:color w:val="auto"/>
              </w:rPr>
            </w:pPr>
            <w:r>
              <w:rPr>
                <w:rFonts w:ascii="Arial" w:cs="Arial" w:eastAsia="Arial" w:hAnsi="Arial"/>
                <w:sz w:val="18"/>
                <w:szCs w:val="18"/>
                <w:color w:val="auto"/>
              </w:rPr>
              <w:t>Other liabilities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812"/>
              <w:spacing w:after="0"/>
              <w:rPr>
                <w:sz w:val="20"/>
                <w:szCs w:val="20"/>
                <w:color w:val="auto"/>
              </w:rPr>
            </w:pPr>
            <w:r>
              <w:rPr>
                <w:rFonts w:ascii="Arial" w:cs="Arial" w:eastAsia="Arial" w:hAnsi="Arial"/>
                <w:sz w:val="18"/>
                <w:szCs w:val="18"/>
                <w:color w:val="auto"/>
              </w:rPr>
              <w:t>66,490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185,826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191,627</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of property, equipment and satellites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(206,627)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(260,033)</w:t>
            </w:r>
          </w:p>
        </w:tc>
        <w:tc>
          <w:tcPr>
            <w:tcW w:w="0" w:type="dxa"/>
            <w:vAlign w:val="bottom"/>
          </w:tcPr>
          <w:p>
            <w:pPr>
              <w:spacing w:after="0"/>
              <w:rPr>
                <w:sz w:val="1"/>
                <w:szCs w:val="1"/>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Cash paid for patents, licenses and other assets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752"/>
              <w:spacing w:after="0"/>
              <w:rPr>
                <w:sz w:val="20"/>
                <w:szCs w:val="20"/>
                <w:color w:val="auto"/>
              </w:rPr>
            </w:pPr>
            <w:r>
              <w:rPr>
                <w:rFonts w:ascii="Arial" w:cs="Arial" w:eastAsia="Arial" w:hAnsi="Arial"/>
                <w:sz w:val="18"/>
                <w:szCs w:val="18"/>
                <w:color w:val="auto"/>
              </w:rPr>
              <w:t>(36,969)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(38,430)</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investing activities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0"/>
        </w:trPr>
        <w:tc>
          <w:tcPr>
            <w:tcW w:w="7740" w:type="dxa"/>
            <w:vAlign w:val="bottom"/>
            <w:vMerge w:val="restart"/>
          </w:tcPr>
          <w:p>
            <w:pPr>
              <w:ind w:left="130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2"/>
          </w:tcPr>
          <w:p>
            <w:pPr>
              <w:jc w:val="right"/>
              <w:ind w:right="752"/>
              <w:spacing w:after="0"/>
              <w:rPr>
                <w:sz w:val="20"/>
                <w:szCs w:val="20"/>
                <w:color w:val="auto"/>
              </w:rPr>
            </w:pPr>
            <w:r>
              <w:rPr>
                <w:rFonts w:ascii="Arial" w:cs="Arial" w:eastAsia="Arial" w:hAnsi="Arial"/>
                <w:sz w:val="18"/>
                <w:szCs w:val="18"/>
                <w:color w:val="auto"/>
              </w:rPr>
              <w:t>(243,596)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(299,112)</w:t>
            </w:r>
          </w:p>
        </w:tc>
        <w:tc>
          <w:tcPr>
            <w:tcW w:w="0" w:type="dxa"/>
            <w:vAlign w:val="bottom"/>
          </w:tcPr>
          <w:p>
            <w:pPr>
              <w:spacing w:after="0"/>
              <w:rPr>
                <w:sz w:val="1"/>
                <w:szCs w:val="1"/>
                <w:color w:val="auto"/>
              </w:rPr>
            </w:pPr>
          </w:p>
        </w:tc>
      </w:tr>
      <w:tr>
        <w:trPr>
          <w:trHeight w:val="218"/>
        </w:trPr>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Proceeds from issuance of 2025 Notes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812"/>
              <w:spacing w:after="0"/>
              <w:rPr>
                <w:sz w:val="20"/>
                <w:szCs w:val="20"/>
                <w:color w:val="auto"/>
              </w:rPr>
            </w:pPr>
            <w:r>
              <w:rPr>
                <w:rFonts w:ascii="Arial" w:cs="Arial" w:eastAsia="Arial" w:hAnsi="Arial"/>
                <w:sz w:val="18"/>
                <w:szCs w:val="18"/>
                <w:color w:val="auto"/>
              </w:rPr>
              <w:t>700,000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Repayment of 2020 Notes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(575,000)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Payment of debt extinguishment costs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752"/>
              <w:spacing w:after="0"/>
              <w:rPr>
                <w:sz w:val="20"/>
                <w:szCs w:val="20"/>
                <w:color w:val="auto"/>
              </w:rPr>
            </w:pPr>
            <w:r>
              <w:rPr>
                <w:rFonts w:ascii="Arial" w:cs="Arial" w:eastAsia="Arial" w:hAnsi="Arial"/>
                <w:sz w:val="18"/>
                <w:szCs w:val="18"/>
                <w:color w:val="auto"/>
              </w:rPr>
              <w:t>(10,602)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revolving credit facility borrowings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Payments of revolving credit facility borrowings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Ex-Im credit facility borrowings, net of discount</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52,503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67,236</w:t>
            </w:r>
          </w:p>
        </w:tc>
        <w:tc>
          <w:tcPr>
            <w:tcW w:w="0" w:type="dxa"/>
            <w:vAlign w:val="bottom"/>
          </w:tcPr>
          <w:p>
            <w:pPr>
              <w:spacing w:after="0"/>
              <w:rPr>
                <w:sz w:val="1"/>
                <w:szCs w:val="1"/>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Payment of debt issuance costs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752"/>
              <w:spacing w:after="0"/>
              <w:rPr>
                <w:sz w:val="20"/>
                <w:szCs w:val="20"/>
                <w:color w:val="auto"/>
              </w:rPr>
            </w:pPr>
            <w:r>
              <w:rPr>
                <w:rFonts w:ascii="Arial" w:cs="Arial" w:eastAsia="Arial" w:hAnsi="Arial"/>
                <w:sz w:val="18"/>
                <w:szCs w:val="18"/>
                <w:color w:val="auto"/>
              </w:rPr>
              <w:t>(8,735)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(6,583)</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issuance of common stock under equity plans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14,871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14,487</w:t>
            </w:r>
          </w:p>
        </w:tc>
        <w:tc>
          <w:tcPr>
            <w:tcW w:w="0" w:type="dxa"/>
            <w:vAlign w:val="bottom"/>
          </w:tcPr>
          <w:p>
            <w:pPr>
              <w:spacing w:after="0"/>
              <w:rPr>
                <w:sz w:val="1"/>
                <w:szCs w:val="1"/>
                <w:color w:val="auto"/>
              </w:rPr>
            </w:pPr>
          </w:p>
        </w:tc>
      </w:tr>
      <w:tr>
        <w:trPr>
          <w:trHeight w:val="208"/>
        </w:trPr>
        <w:tc>
          <w:tcPr>
            <w:tcW w:w="7740" w:type="dxa"/>
            <w:vAlign w:val="bottom"/>
          </w:tcPr>
          <w:p>
            <w:pPr>
              <w:ind w:left="440"/>
              <w:spacing w:after="0"/>
              <w:rPr>
                <w:sz w:val="20"/>
                <w:szCs w:val="20"/>
                <w:color w:val="auto"/>
              </w:rPr>
            </w:pPr>
            <w:r>
              <w:rPr>
                <w:rFonts w:ascii="Arial" w:cs="Arial" w:eastAsia="Arial" w:hAnsi="Arial"/>
                <w:sz w:val="18"/>
                <w:szCs w:val="18"/>
                <w:color w:val="auto"/>
                <w:w w:val="94"/>
              </w:rPr>
              <w:t>Purchase of common stock in treasury (immediately retired) related to tax withholdings for stock-</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660"/>
              <w:spacing w:after="0"/>
              <w:rPr>
                <w:sz w:val="20"/>
                <w:szCs w:val="20"/>
                <w:color w:val="auto"/>
              </w:rPr>
            </w:pPr>
            <w:r>
              <w:rPr>
                <w:rFonts w:ascii="Arial" w:cs="Arial" w:eastAsia="Arial" w:hAnsi="Arial"/>
                <w:sz w:val="18"/>
                <w:szCs w:val="18"/>
                <w:color w:val="auto"/>
              </w:rPr>
              <w:t>based compensation</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2"/>
          </w:tcPr>
          <w:p>
            <w:pPr>
              <w:jc w:val="right"/>
              <w:ind w:right="752"/>
              <w:spacing w:after="0"/>
              <w:rPr>
                <w:sz w:val="20"/>
                <w:szCs w:val="20"/>
                <w:color w:val="auto"/>
              </w:rPr>
            </w:pPr>
            <w:r>
              <w:rPr>
                <w:rFonts w:ascii="Arial" w:cs="Arial" w:eastAsia="Arial" w:hAnsi="Arial"/>
                <w:sz w:val="18"/>
                <w:szCs w:val="18"/>
                <w:color w:val="auto"/>
              </w:rPr>
              <w:t>(2,483)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17"/>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financing activities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(757)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0"/>
        </w:trPr>
        <w:tc>
          <w:tcPr>
            <w:tcW w:w="7740" w:type="dxa"/>
            <w:vAlign w:val="bottom"/>
            <w:vMerge w:val="restart"/>
          </w:tcPr>
          <w:p>
            <w:pPr>
              <w:ind w:left="1300"/>
              <w:spacing w:after="0"/>
              <w:rPr>
                <w:sz w:val="20"/>
                <w:szCs w:val="20"/>
                <w:color w:val="auto"/>
              </w:rPr>
            </w:pPr>
            <w:r>
              <w:rPr>
                <w:rFonts w:ascii="Arial" w:cs="Arial" w:eastAsia="Arial" w:hAnsi="Arial"/>
                <w:sz w:val="18"/>
                <w:szCs w:val="18"/>
                <w:color w:val="auto"/>
              </w:rPr>
              <w:t>Net cash provided by financing activities</w:t>
            </w: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2"/>
          </w:tcPr>
          <w:p>
            <w:pPr>
              <w:jc w:val="right"/>
              <w:ind w:right="812"/>
              <w:spacing w:after="0"/>
              <w:rPr>
                <w:sz w:val="20"/>
                <w:szCs w:val="20"/>
                <w:color w:val="auto"/>
              </w:rPr>
            </w:pPr>
            <w:r>
              <w:rPr>
                <w:rFonts w:ascii="Arial" w:cs="Arial" w:eastAsia="Arial" w:hAnsi="Arial"/>
                <w:sz w:val="18"/>
                <w:szCs w:val="18"/>
                <w:color w:val="auto"/>
              </w:rPr>
              <w:t>169,797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116,875</w:t>
            </w:r>
          </w:p>
        </w:tc>
        <w:tc>
          <w:tcPr>
            <w:tcW w:w="0" w:type="dxa"/>
            <w:vAlign w:val="bottom"/>
          </w:tcPr>
          <w:p>
            <w:pPr>
              <w:spacing w:after="0"/>
              <w:rPr>
                <w:sz w:val="1"/>
                <w:szCs w:val="1"/>
                <w:color w:val="auto"/>
              </w:rPr>
            </w:pPr>
          </w:p>
        </w:tc>
      </w:tr>
      <w:tr>
        <w:trPr>
          <w:trHeight w:val="218"/>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583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color w:val="auto"/>
              </w:rPr>
              <w:t>Net increase in cash and cash equivalents</w:t>
            </w: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2"/>
          </w:tcPr>
          <w:p>
            <w:pPr>
              <w:jc w:val="right"/>
              <w:ind w:right="812"/>
              <w:spacing w:after="0"/>
              <w:rPr>
                <w:sz w:val="20"/>
                <w:szCs w:val="20"/>
                <w:color w:val="auto"/>
              </w:rPr>
            </w:pPr>
            <w:r>
              <w:rPr>
                <w:rFonts w:ascii="Arial" w:cs="Arial" w:eastAsia="Arial" w:hAnsi="Arial"/>
                <w:sz w:val="18"/>
                <w:szCs w:val="18"/>
                <w:color w:val="auto"/>
              </w:rPr>
              <w:t>112,610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9,187</w:t>
            </w:r>
          </w:p>
        </w:tc>
        <w:tc>
          <w:tcPr>
            <w:tcW w:w="0" w:type="dxa"/>
            <w:vAlign w:val="bottom"/>
          </w:tcPr>
          <w:p>
            <w:pPr>
              <w:spacing w:after="0"/>
              <w:rPr>
                <w:sz w:val="1"/>
                <w:szCs w:val="1"/>
                <w:color w:val="auto"/>
              </w:rPr>
            </w:pPr>
          </w:p>
        </w:tc>
      </w:tr>
      <w:tr>
        <w:trPr>
          <w:trHeight w:val="218"/>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130,098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42,088</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color w:val="auto"/>
              </w:rPr>
              <w:t>Cash and cash equivalents at end of period</w:t>
            </w: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40" w:type="dxa"/>
            <w:vAlign w:val="bottom"/>
            <w:vMerge w:val="continue"/>
          </w:tcPr>
          <w:p>
            <w:pPr>
              <w:spacing w:after="0"/>
              <w:rPr>
                <w:sz w:val="19"/>
                <w:szCs w:val="19"/>
                <w:color w:val="auto"/>
              </w:rPr>
            </w:pP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812"/>
              <w:spacing w:after="0"/>
              <w:rPr>
                <w:sz w:val="20"/>
                <w:szCs w:val="20"/>
                <w:color w:val="auto"/>
              </w:rPr>
            </w:pPr>
            <w:r>
              <w:rPr>
                <w:rFonts w:ascii="Arial" w:cs="Arial" w:eastAsia="Arial" w:hAnsi="Arial"/>
                <w:sz w:val="18"/>
                <w:szCs w:val="18"/>
                <w:color w:val="auto"/>
              </w:rPr>
              <w:t>242,708</w:t>
            </w:r>
          </w:p>
        </w:tc>
        <w:tc>
          <w:tcPr>
            <w:tcW w:w="320" w:type="dxa"/>
            <w:vAlign w:val="bottom"/>
            <w:gridSpan w:val="2"/>
          </w:tcPr>
          <w:p>
            <w:pPr>
              <w:jc w:val="right"/>
              <w:ind w:right="15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51,275</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w w:val="97"/>
              </w:rPr>
              <w:t>Issuance of common stock in satisfaction of certain accrued employee compensation liabilities</w:t>
            </w: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812"/>
              <w:spacing w:after="0"/>
              <w:rPr>
                <w:sz w:val="20"/>
                <w:szCs w:val="20"/>
                <w:color w:val="auto"/>
              </w:rPr>
            </w:pPr>
            <w:r>
              <w:rPr>
                <w:rFonts w:ascii="Arial" w:cs="Arial" w:eastAsia="Arial" w:hAnsi="Arial"/>
                <w:sz w:val="18"/>
                <w:szCs w:val="18"/>
                <w:color w:val="auto"/>
              </w:rPr>
              <w:t>16,409</w:t>
            </w:r>
          </w:p>
        </w:tc>
        <w:tc>
          <w:tcPr>
            <w:tcW w:w="320" w:type="dxa"/>
            <w:vAlign w:val="bottom"/>
            <w:gridSpan w:val="2"/>
          </w:tcPr>
          <w:p>
            <w:pPr>
              <w:jc w:val="right"/>
              <w:ind w:right="15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13,080</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 not paid for</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13,003</w:t>
            </w:r>
          </w:p>
        </w:tc>
        <w:tc>
          <w:tcPr>
            <w:tcW w:w="3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19,923</w:t>
            </w:r>
          </w:p>
        </w:tc>
        <w:tc>
          <w:tcPr>
            <w:tcW w:w="0" w:type="dxa"/>
            <w:vAlign w:val="bottom"/>
          </w:tcPr>
          <w:p>
            <w:pPr>
              <w:spacing w:after="0"/>
              <w:rPr>
                <w:sz w:val="1"/>
                <w:szCs w:val="1"/>
                <w:color w:val="auto"/>
              </w:rPr>
            </w:pPr>
          </w:p>
        </w:tc>
      </w:tr>
      <w:tr>
        <w:trPr>
          <w:trHeight w:val="222"/>
        </w:trPr>
        <w:tc>
          <w:tcPr>
            <w:tcW w:w="7740" w:type="dxa"/>
            <w:vAlign w:val="bottom"/>
          </w:tcPr>
          <w:p>
            <w:pPr>
              <w:ind w:left="440"/>
              <w:spacing w:after="0"/>
              <w:rPr>
                <w:sz w:val="20"/>
                <w:szCs w:val="20"/>
                <w:color w:val="auto"/>
              </w:rPr>
            </w:pPr>
            <w:r>
              <w:rPr>
                <w:rFonts w:ascii="Arial" w:cs="Arial" w:eastAsia="Arial" w:hAnsi="Arial"/>
                <w:sz w:val="18"/>
                <w:szCs w:val="18"/>
                <w:color w:val="auto"/>
              </w:rPr>
              <w:t>Exposure fees on Ex-Im credit facility financed through Ex-Im credit facility</w:t>
            </w: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812"/>
              <w:spacing w:after="0"/>
              <w:rPr>
                <w:sz w:val="20"/>
                <w:szCs w:val="20"/>
                <w:color w:val="auto"/>
              </w:rPr>
            </w:pPr>
            <w:r>
              <w:rPr>
                <w:rFonts w:ascii="Arial" w:cs="Arial" w:eastAsia="Arial" w:hAnsi="Arial"/>
                <w:sz w:val="18"/>
                <w:szCs w:val="18"/>
                <w:color w:val="auto"/>
              </w:rPr>
              <w:t>5,764</w:t>
            </w:r>
          </w:p>
        </w:tc>
        <w:tc>
          <w:tcPr>
            <w:tcW w:w="320" w:type="dxa"/>
            <w:vAlign w:val="bottom"/>
            <w:gridSpan w:val="2"/>
          </w:tcPr>
          <w:p>
            <w:pPr>
              <w:jc w:val="right"/>
              <w:ind w:right="15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7,382</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4"/>
                <w:szCs w:val="14"/>
                <w:b w:val="1"/>
                <w:bCs w:val="1"/>
                <w:color w:val="auto"/>
                <w:w w:val="88"/>
              </w:rPr>
              <w:t>ViaSat, Inc. Stockholders</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80" w:type="dxa"/>
            <w:vAlign w:val="bottom"/>
            <w:tcBorders>
              <w:bottom w:val="single" w:sz="8" w:color="auto"/>
            </w:tcBorders>
            <w:gridSpan w:val="4"/>
          </w:tcPr>
          <w:p>
            <w:pPr>
              <w:ind w:left="360"/>
              <w:spacing w:after="0" w:line="142" w:lineRule="exact"/>
              <w:rPr>
                <w:sz w:val="20"/>
                <w:szCs w:val="20"/>
                <w:color w:val="auto"/>
              </w:rPr>
            </w:pPr>
            <w:r>
              <w:rPr>
                <w:rFonts w:ascii="Arial" w:cs="Arial" w:eastAsia="Arial" w:hAnsi="Arial"/>
                <w:sz w:val="14"/>
                <w:szCs w:val="14"/>
                <w:b w:val="1"/>
                <w:bCs w:val="1"/>
                <w:color w:val="auto"/>
                <w:w w:val="87"/>
              </w:rPr>
              <w:t>Common Stock</w:t>
            </w:r>
          </w:p>
        </w:tc>
        <w:tc>
          <w:tcPr>
            <w:tcW w:w="3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w w:val="88"/>
              </w:rPr>
              <w:t>Accumulated</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98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90"/>
              </w:rPr>
              <w:t>Other</w:t>
            </w:r>
          </w:p>
        </w:tc>
        <w:tc>
          <w:tcPr>
            <w:tcW w:w="11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Noncontrolling</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8"/>
              </w:rPr>
              <w:t>Retained</w:t>
            </w:r>
          </w:p>
        </w:tc>
        <w:tc>
          <w:tcPr>
            <w:tcW w:w="12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8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5"/>
              </w:rPr>
              <w:t>Interest in</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Issued</w:t>
            </w:r>
          </w:p>
        </w:tc>
        <w:tc>
          <w:tcPr>
            <w:tcW w:w="120" w:type="dxa"/>
            <w:vAlign w:val="bottom"/>
          </w:tcPr>
          <w:p>
            <w:pPr>
              <w:spacing w:after="0"/>
              <w:rPr>
                <w:sz w:val="14"/>
                <w:szCs w:val="14"/>
                <w:color w:val="auto"/>
              </w:rPr>
            </w:pP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Earnings</w:t>
            </w:r>
          </w:p>
        </w:tc>
        <w:tc>
          <w:tcPr>
            <w:tcW w:w="12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Income (Loss)</w:t>
            </w:r>
          </w:p>
        </w:tc>
        <w:tc>
          <w:tcPr>
            <w:tcW w:w="8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4"/>
              </w:rPr>
              <w:t>Subsidiaries</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60" w:type="dxa"/>
            <w:vAlign w:val="bottom"/>
            <w:tcBorders>
              <w:top w:val="single" w:sz="8" w:color="auto"/>
            </w:tcBorders>
            <w:gridSpan w:val="8"/>
          </w:tcPr>
          <w:p>
            <w:pPr>
              <w:jc w:val="right"/>
              <w:ind w:right="600"/>
              <w:spacing w:after="0" w:line="142" w:lineRule="exact"/>
              <w:rPr>
                <w:sz w:val="20"/>
                <w:szCs w:val="20"/>
                <w:color w:val="auto"/>
              </w:rPr>
            </w:pPr>
            <w:r>
              <w:rPr>
                <w:rFonts w:ascii="Arial" w:cs="Arial" w:eastAsia="Arial" w:hAnsi="Arial"/>
                <w:sz w:val="14"/>
                <w:szCs w:val="14"/>
                <w:b w:val="1"/>
                <w:bCs w:val="1"/>
                <w:color w:val="auto"/>
              </w:rPr>
              <w:t>(In thousands, except share data)</w:t>
            </w: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2017</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57,600,609</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$1,439,645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$297,471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3,313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$1,737,931</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200,225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8,854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8,854</w:t>
            </w: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w w:val="93"/>
              </w:rPr>
              <w:t>Issuance of stock under Employee Stock Purchase Plan</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106,937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6,017</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35,078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35,078</w:t>
            </w:r>
          </w:p>
        </w:tc>
      </w:tr>
      <w:tr>
        <w:trPr>
          <w:trHeight w:val="208"/>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w w:val="92"/>
              </w:rPr>
              <w:t>Shares issued in settlement of certain accrued employee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liabilities</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228,791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16,409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16,409</w:t>
            </w:r>
          </w:p>
        </w:tc>
      </w:tr>
      <w:tr>
        <w:trPr>
          <w:trHeight w:val="208"/>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9"/>
              </w:rPr>
              <w:t>RSU awards vesting, net of shares withheld for taxes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which have been retired</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70,075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(2,483)</w:t>
            </w:r>
          </w:p>
        </w:tc>
        <w:tc>
          <w:tcPr>
            <w:tcW w:w="12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(2,483)</w:t>
            </w: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adjustment upon adoption of new</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compensation guidance (ASU 2016-09)</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1,110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58,011</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59,121</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noncontrolling interest activity</w:t>
            </w: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(22,728)</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(23,138)</w:t>
            </w: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9,955</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2017</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58,206,637</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1,504,630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332,754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2,932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1,847,773</w:t>
            </w: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6"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The accompanying condensed consolidated balance sheet at September 30, 2017, the condensed consolidated statements of operations and comprehensive income (loss) for the three and six months ended September 30, 2017 and 2016, the condensed consolidated statements of cash flows for the six months ended September 30, 2017 and 2016 and the condensed consolidated statement of equity for the six months ended September 30, 2017 have been prepared by the management of ViaSat, Inc. (also referred to hereafter as the Company or ViaSat), and have not been audited. These financial statements have been prepared on the same basis as the audited consolidated financial statements for the fiscal year ended March 31, 2017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March 31, 2017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12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condensed consolidated financial statements include the assets, liabilities and results of operations of ViaSat, its wholly owned subsidiaries and its majority-owned subsidiaries, TrellisWare Technologies, Inc. (TrellisWare) and Euro Broadband Retail Sàrl (Euro Retail Co.). All significant intercompany amounts have been eliminated. 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w:t>
      </w:r>
    </w:p>
    <w:p>
      <w:pPr>
        <w:spacing w:after="0" w:line="143"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 substantial portion of the Company’s revenues is derived from long-term contracts requiring development and delivery of complex equipment built to customer specifications. Sales related to long-term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 Anticipated losses on contracts are recognized in full in the period in which losses become probable and estimable. Changes in estimates of profit or loss on contracts are included in earnings on a cumulative basis in the period the estimate is changed. During the three months ended September 30, 2017 and 2016, the Company recorded losses of approximately $1.5 million and $1.6 million, respectively, related to loss contracts. During the six months ended September 30, 2017 and 2016, the Company recorded losses of approximately $3.7 million and $2.0 million, respectively, related to loss contracts.</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Company also derives a substantial portion of its revenues from contracts and purchase orders where revenue is recorded on delivery of products or performance of services in accordance with the authoritative guidance for revenue recognition (ASC 605). Under this standard, the Company recognizes revenue when an arrangement exists, prices are determinable, collectability is reasonably assured and the goods or services have been delivered.</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also enters into certain leasing arrangements with customers and evaluates the contracts in accordance with the authoritative guidance for leases (ASC 840). The Company’s accounting for equipment leases involves specific determinations under the authoritative guidance for leases, which often involve complex provisions and significant judgments. In accordance with the authoritative guidance for leases, the Company classifies the transactions as sales type or operating leases based on: (1) 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the Company considers the cancelability of the contract and any related uncertainty of collections or risk in recoverability of the lease investment at lease inception. Revenue from</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sales type leases is recognized at the inception of the lease or when the equipment has been delivered and installed at the customer site, if installation is required.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Revenues from equipment rentals under operating leases are recognized as earned over the lease term, which is generally on a straight-line basis.</w:t>
      </w:r>
    </w:p>
    <w:p>
      <w:pPr>
        <w:spacing w:after="0" w:line="188"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In accordance with the authoritative guidance for revenue recognition for multiple element arrangements, the Accounting Standards Update (ASU) 2009-13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the Company allocates revenue to each element based on a selling price hierarchy at the arrangement inception. The selling price for each element is based upon the following selling price hierarchy: vendor specific objective evidence (VSOE) if available, third-party evidence (TPE) if VSOE is not available, or estimated selling price (ESP) if neither VSOE nor TPE are available (a description as to how the Company determines VSOE, TPE and ESP is provided below). If a tangible hardware systems product includes software, the Company determines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0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To determine the selling price in multiple-element arrangements, the Company establishes VSOE of the selling price using the price charged for a deliverable when sold separately. The Company also considers specific renewal rates offered to customers for software license updates, product support and hardware systems support, and other services. For nonsoftware multiple-element arrangements, TPE is established by evaluating similar and/or interchangeable competitor products or services in standalone arrangements with similarly situated customers and/or agreements. If the Company is unable to determine the selling price because VSOE or TPE doesn’t exist, the Company determines ESP for the purposes of allocating the arrangement by reviewing historical transactions, including transactions whereby the deliverable was sold on a standalone basis and considers several other external and internal factors including, but not limited to, pricing practices including discounting, margin objectives, competition, the geographies in which the Company offers its products and services, the type of customer (i.e., distributor, value added reseller, government agency or direct end user, among others), volume commitments and the stage of the product lifecycle. The determination of ESP considers the Company’s pricing model and go-to-market strategy. As the Company’s, or its competitors’, pricing and go-to-market strategies evolve, the Company may modify its pricing practices in the future, which could result in changes to its determination of VSOE, TPE and ESP. As a result, the Company’s future revenue recognition for multiple-element arrangements could differ materially from those in the current period.</w:t>
      </w:r>
    </w:p>
    <w:p>
      <w:pPr>
        <w:spacing w:after="0" w:line="12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In accordance with the authoritative guidance for shipping and handling fees and costs (ASC 605-45), the Company records shipping and handling costs billed to customers as a component of revenues, and shipping and handling costs incurred by the Company for inbound and outbound freight as a component of cost of revenues.</w:t>
      </w:r>
    </w:p>
    <w:p>
      <w:pPr>
        <w:spacing w:after="0" w:line="14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12 months. Amounts for obligations extending beyond 12 months are recorded within other liabilities in the condensed consolidated financial statements.</w:t>
      </w:r>
    </w:p>
    <w:p>
      <w:pPr>
        <w:spacing w:after="0" w:line="14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Contract costs on U.S. government contracts are subject to audit and review by the Defense Contracting Management Agency (DCMA), the Defense Contract Audit Agency (DCAA), and other U.S. government agencies, as well as negotiations with U.S. government representatives. The Company’s incurred cost audits by the DCAA have not been concluded for fiscal years 2016 and 2017. As of September 30, 2017, the DCAA had completed its incurred cost audit for fiscal year 2004 and approved the Company’s incurred cost claims for fiscal years 2005 through 2015 without further audit. Although the Company has recorded contract revenues subsequent to fiscal year 2015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September 30, 2017 and March 31, 2017, the Company had $1.3 million and $1.8 million, respectively, in contract-related reserves for its estimate of potential refunds to customers for potential cost adjustments on several multi-year U.S. government cost reimbursable contracts (see Note 8).</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accordance with the authoritative guidance for advertising costs (ASC 720-35), advertising costs are expensed as incurred and included in selling, general and administrative (SG&amp;A) expenses. Advertising expenses for the three months ended September 30, 2017 and 2016 were $2.3 million and $0.8 million, respectively, and for the six months ended September 30, 2017 and 2016 were $3.5 million and $1.6 million, respectively.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Commissions</w:t>
      </w:r>
    </w:p>
    <w:p>
      <w:pPr>
        <w:spacing w:after="0" w:line="171"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The Company compensates third parties based on specific commission programs directly related to certain product and service sales, and these commissions costs are expensed as incurred.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 placed in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Costs related to internally developed software for internal uses are capitalized after the preliminary project stage is complete and are amortized over the estimated useful lives of the assets.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 The Company computes depreciation using the straight-line method over the estimated useful lives of the assets ranging from two to 24 years. Leasehold improvements are capitalized and amortized using the straight-line method over the shorter of the lease term or the life of the improvement.</w:t>
      </w:r>
    </w:p>
    <w:p>
      <w:pPr>
        <w:spacing w:after="0" w:line="12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Interest expense is capitalized on the carrying value of assets under construction, in accordance with the authoritative guidance for the capitalization of interest (ASC 835-20). With respect to assets under construction, including the ViaSat-2 satellite and related gateway and networking equipment (which commenced construction during the first quarter of fiscal year 2014), and the ViaSat-3 class satellites (which commenced construction during the fourth quarter of fiscal year 2016), the Company capitalized $16.1 million and $11.6 million of interest expense for the three months ended September 30, 2017 and 2016, respectively, and capitalized $30.7 million and $21.8 million of interest expense for the six months ended September 30, 2017 and 2016, respectively.</w:t>
      </w:r>
    </w:p>
    <w:p>
      <w:pPr>
        <w:spacing w:after="0" w:line="11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Company owns two satellites in service: ViaSat-1 (its first-generation high-capacity Ka-band spot-beam satellite, which was placed into service in January 2012) and WildBlue-1 (which was placed into service in March 2007). On June 1, 2017, the Company’s second-generation ViaSat-2 satellite was successfully launched into orbit, and the satellite manufacturer will transfer operation of the satellite to the Company following the successful completion of orbit raising, orbital placement and in-orbit testing. The Company currently has two third-generation ViaSat-3 class satellites under construction. The Company also has an exclusive prepaid lifetime capital lease of Ka-band capacity over the contiguous United States on Telesat Canada’s Anik F2 satellite (which was placed into service in April 2005) and owns related earth stations and networking equipment for all of its satellites. The Company periodically reviews the remaining estimated useful life of its satellites to determine if revisions to estimated lives are necessary. The Company procures indoor and outdoor CPE units leased to subscribers under a retail leasing program as part of the Company’s satellite services segment, which are reflected in investing activities and property and equipment in the accompanying condensed consolidated financial statements. The Company depreciates the satellites, earth stations and networking equipment, CPE units and related installation costs over their estimated useful lives. The total cost and accumulated depreciation of CPE units included in property and equipment, net, as of September 30, 2017 were $260.2 million and $162.4 million, respectively. The total cost and accumulated depreciation of CPE units included in property and equipment, net, as of March 31, 2017 were $271.9 million and $158.2 million, respectively.</w:t>
      </w:r>
    </w:p>
    <w:p>
      <w:pPr>
        <w:spacing w:after="0" w:line="12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Occasionally, the Company may enter into capital lease arrangements for various machinery, equipment, computer-related equipment, software, furniture or fixtures. The Company records amortization of assets leased under capital lease arrangements within depreciation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of $3.2 million related to patents were included in other assets as of September 30, 2017 and March 31, 2017.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Company capitalized costs of $15.4 million related to acquiring and obtaining orbital slots and other licenses included in other assets as of September 30, 2017 and March 31, 2017. Accumulated amortization related to these assets was $2.3 million and $2.1 million as of September 30, 2017 and March 31, 2017, respectively. Amortization expense related to these assets was an insignificant amount for the three and six months ended September 30, 2017 and 2016. If a patent, orbital slot or orbital license is rejected, abandoned or otherwise invalidated, the unamortized cost is expensed in that period. During the three and six months ended September 30, 2017 and 2016, the Company did not write off any significant costs due to abandonment or impairment.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90"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color w:val="auto"/>
        </w:rPr>
        <w:t>Debt issuance costs are amortized and recognized as interest expense using the effective interest rate method, or, when the results are not materially different, on a straight-line basis over the expected term of the related debt. During the three months ended September 30, 2017 and 2016, $9.8 million and an insignificant amount, respectively, of debt issuance costs were capitalized. During the six months ended September 30, 2017 and 2016, $9.8 million and $6.1 million, respectively, of debt issuance costs were capitalized. Unamortized debt issuance costs related to extinguished debt are expensed at the time the debt is extinguished and recorded in loss on extinguishment of debt in the condensed consolidated statements of operations and comprehensive income (loss). Debt issuance costs related to the Company’s revolving credit facility (the Revolving Credit Facility) are recorded in prepaid expenses and other current assets and in other long-term assets in the condensed consolidated balance sheets in accordance with the authoritative guidance for imputation of interest (ASC 835-30). Debt issuance costs related to the Company’s 5.625% Senior Notes due 2025 (the 2025 Notes) and the Company’s direct loan facility with the Export-Import Bank of the United States for ViaSat-2 (the Ex-Im Credit Facility) are recorded as a direct deduction from the carrying amount of the related debt, consistent with debt discounts, in accordance with the authoritative guidance for imputation of interest (ASC 835-30).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Costs of developing software for sale are charged to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$225.2 million and $203.7 million related to software developed for resale were included in other assets as of September 30, 2017 and March 31, 2017, respectively. The Company capitalized $20.0 million and $37.8 million of costs related to software developed for resale for the three and six months ended September 30, 2017, respectively. The Company capitalized $19.7 million and $40.7 million of costs related to software developed for resale for the three and six months ended September 30, 2016, respectively. Amortization expense for capitalized software development costs was $6.6 million and $16.3 million for the three and six months ended September 30, 2017, respectively, and $8.7 million and $16.4 million for the three and six months ended September, 30, 2016,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internal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$3.9 million and $4.2 million in accrued liabilities in the condensed consolidated balance sheets as of September 30, 2017 and March 31, 2017,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liabilities in accordance with the estimated timing of the projected payments.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agreed to indemnify, the Company could incur substantial legal costs and damages. A claim would be accrued when a loss is considered probable and the amount can be reasonably estimated. At September 30, 2017 and March 31, 2017, no such amounts were accrued related to the aforementioned provisions.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affiliate — equity method</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 The Company records its share of the results of such entities within equity in income (losses) of unconsolidated affiliate, net on the condensed consolidated statements of operations and comprehensive income (loss). The Company monitors such investments for other-than-temporary impairment by considering factors including the current economic and market conditions and the operating performance of the entities and records reductions in carrying values when necessary. The fair value of privately held investments is estimated using the best available information as of the valuation date, including current earnings trends, undiscounted cash flows, quoted stock prices of comparable public companies, and other company specific information, including recent financing rounds.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2017 and March 31, 2017, the Company had no shares of common stock held in treasury.</w:t>
      </w:r>
    </w:p>
    <w:p>
      <w:pPr>
        <w:spacing w:after="0" w:line="171"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During the six months ended September 30, 2017 and 2016, the Company issued 106,741 and 102,103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during the six months ended September 30, 2017 and 2016, the Company repurchased 36,666 and 34,204 shares of common stock, respectively, at cost and in each instance with a total value of $2.5 million. The shares of common stock repurchased during the six months ended September 30, 2017 and 2016 were immediately retired. These retired shares remain as authorized stock; however they are considered to be unissued. The retirement of treasury stock had no impact on the Company’s total consolidated stockholders’ equity. Although shares withheld for employee withholding taxes are technically not issued, they are treated as common stock repurchases for accounting purposes (with such shares deemed to be repurchased and then immediately retired), as they reduce the number of shares that otherwise would have been issued upon vesting of the restricted stock units.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The Company enters into foreign currency forward and option contracts from time to time to hedge certain forecasted foreign currency transactions. Gains and losses arising from foreign currency forward and option contracts not designated as hedging instruments are recorded in other income (expense) as gains (losses) on derivative instruments. Gains and losses arising from the effective portion of foreign currency forward and option contracts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10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three and six months ended September 30, 2017 and 2016, the Company settled certain foreign exchange contracts and in connection therewith for each period recognized an insignificant gain or loss recorded in cost of revenues based on the nature of the underlying transactions. The fair value of the Company’s foreign currency forward contracts was an insignificant amount recorded as an other current asset as of September 30, 2017 and as an accrued liability as of March 31, 2017. The notional value of foreign currency forward contracts outstanding as of September 30, 2017 and March 31, 2017 was $1.5 million and $2.6 million, respectively.</w:t>
      </w:r>
    </w:p>
    <w:p>
      <w:pPr>
        <w:spacing w:after="0" w:line="143"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At September 30, 2017, the estimated net amount of unrealized gains or losses related to foreign currency forward contracts that was expected to be reclassified to earnings within the next 12 months was insignificant. The Company’s foreign currency forward contracts outstanding as of September 30, 2017 will mature within approximately 30 to 36 months from their inception. There were no gains or losses from ineffectiveness of these derivative instruments recorded for the three and six months ended September 30, 2017 and 2016.</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accordance with the authoritative guidance for share-based payments (ASC 718), the Company measures stock-based compensation cost at the grant date, based on the estimated fair value of the award, and recognizes expense on a straight-line basis over the employee’s requisite service period. Effective April 1, 2017, the Company adopted a change in accounting policy in accordance with ASU 2016-09, Compensation — Stock Compensation (ASC 718) to account for forfeitures as they occur. Prior to April 1, 2017, forfeitures were estimated at the date of grant and revised, if necessary, in subsequent periods if actual forfeitures differed from those estimates. The Company recognized $16.0 million and $31.5 million of stock-based compensation expense for the three and six months ended September 30, 2017, respectively. The Company recognized $12.6 million and $25.4 million of stock-based compensation expense for the three and six months ended September 30, 2016, respectively.</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Effective April 1, 2017, in accordance with ASU 2016-09, on a prospective basis, the Company recognizes excess tax benefits or deficiencies on vesting or settlement of awards as discrete items within income tax benefit or provision within net income (loss) and the related cash flows classified within operating activities. Prior to April 1, 2017 any unrealized excess tax benefits were tracked off the balance sheet and recognition of the benefits was deferred until realized through a reduction in taxes payable. When the excess tax benefits or deficiencies were realized, they were recognized in paid-in-capital and the related cash flows were classified as an outflow from operating activities and an inflow from financing activities. For the three months ended September 30, 2017, the Company recorded an insignificant amount of incremental tax deficiencies from stock options exercised and restricted stock unit awards released as an income tax expense. For the six months ended September 30, 2017 the Company recorded an insignificant amount of incremental tax benefits from stock options exercised and restricted stock unit awards released as an income tax benefit. For the three and six months ended September 30, 2016, the Company recorded no incremental tax benefits from stock options exercised and restricted stock unit awards released as the excess tax benefit from stock options exercised and restricted stock unit awards released increased the Company’s net operating loss carryforward.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Company calculates its provision for income taxes at the end of each interim reporting period on the basis of an estimated annual effective tax rate adjusted for tax items that are discrete to each period. However, when a reliable estimate cannot be made, the Company computes its provision for income taxes using the actual effective tax rate for the year-to-date period. For the three and six months ended September 30, 2016, the Company used the actual effective tax rate method in calculating the income tax provision for the period as a reliable estimate of the annual effective tax rate could not be made.</w:t>
      </w:r>
    </w:p>
    <w:p>
      <w:pPr>
        <w:spacing w:after="0" w:line="11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90" w:lineRule="exact"/>
        <w:rPr>
          <w:sz w:val="20"/>
          <w:szCs w:val="20"/>
          <w:color w:val="auto"/>
        </w:rPr>
      </w:pPr>
    </w:p>
    <w:p>
      <w:pPr>
        <w:ind w:right="160" w:firstLine="456"/>
        <w:spacing w:after="0" w:line="308" w:lineRule="auto"/>
        <w:rPr>
          <w:sz w:val="20"/>
          <w:szCs w:val="20"/>
          <w:color w:val="auto"/>
        </w:rPr>
      </w:pPr>
      <w:r>
        <w:rPr>
          <w:rFonts w:ascii="Arial" w:cs="Arial" w:eastAsia="Arial" w:hAnsi="Arial"/>
          <w:sz w:val="15"/>
          <w:szCs w:val="15"/>
          <w:color w:val="auto"/>
        </w:rPr>
        <w:t>In May 2014, the FASB issued ASU 2014-09, Revenue from Contracts with Customers. ASU 2014-09 requires an entity to recognize the amount of revenue to which it expects to be entitled for the transfer of promised goods or services to a customer. This guidance will replace most existing revenue recognition guidance and will be effective for the Company beginning in fiscal year 2019, including interim periods within that reporting period, based on the FASB decision in July 2015 (ASU 2015-14, Revenue from Contracts with Customers – Deferral of the Effective Date) to delay the effective date of the new revenue recognition standard by one year, but providing entities a choice to adopt the standard as of the original effective date. In March 2016, the FASB issued ASU 2016-08, Principal versus Agent Considerations (Reporting Revenue Gross versus Net), which clarifies the implementation guidance on principal versus agent considerations. In April 2016, the FASB issued ASU 2016-10, Identifying Performance Obligations and Licensing, which clarifies the implementation guidance on identifying performance obligations and the licensing implementation guidance. In May 2016, the FASB issued ASU 2016-12, Narrow-Scope Improvements and Practical Expedients, which provides practical expedient for contract modifications and clarification on assessing the collectability criterion, presentation of sales taxes, measurement date for non-cash consideration and completed contracts at transition. In December 2016, the FASB issued ASU 2016-</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20, Technical Corrections and Improvements to ASC 606, Revenue from Contracts with Customers, which provides for correction or improvement to the guidance previously issued in ASU 2014-09. These standards permit the use of either the retrospective or cumulative effect transition method. The Company currently plans to adopt the standard in fiscal year 2019 using the “modified retrospective method.” Under that method, the Company will apply the rules to all contracts existing as of April 1, 2018, recognizing in beginning retained earnings an adjustment for the cumulative effect of the change and providing additional disclosures comparing results to previous accounting standards.</w:t>
      </w:r>
    </w:p>
    <w:p>
      <w:pPr>
        <w:spacing w:after="0" w:line="1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Upon initial evaluation, the Company believes the key changes in the standard that impact its revenue recognition relate to the deferral of commissions in the Company’s satellite service segment, which are currently expensed as incurred under the current standard. The requirement to defer incremental contract acquisition costs and recognize them with the transfer of the related good or service will result in the recognition of a deferred charge on the Company’s consolidated balance sheet and corresponding impact to the Company’s consolidated statement of operations and comprehensive income (loss).</w:t>
      </w:r>
    </w:p>
    <w:p>
      <w:pPr>
        <w:spacing w:after="0" w:line="11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January 2016, the FASB issued ASU 2016-01, Recognition and Measurement of Financial Assets and Financial Liabilities (ASC 825-10). ASU 2016-01 requires that most equity investments (except those accounted for under the equity method for accounting or those that result in consolidation of the investee) be measured at fair value, with subsequent changes in fair value recognized in net income (loss). The new guidance also impacts financial liabilities under the fair value option and the presentation and disclosure requirements for financial instruments. The new guidance should be applied by means of a cumulative-effect adjustment to the balance sheet as of the beginning of the fiscal year of adoption. ASU 2016-01 will become effective for the Company in fiscal year 2019, with early adoption permitted with certain stipulations. The Company is currently evaluating the impact of this standard on its consolidated financial statements and disclosures.</w:t>
      </w:r>
    </w:p>
    <w:p>
      <w:pPr>
        <w:spacing w:after="0" w:line="14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February 2016, the FASB issued ASU 2016-02, Leases (ASC 842). ASU 2016-02 requires lessees to recognize most leases on their balance sheets as lease liabilities with corresponding right-of-use assets and eliminates certain real estate-specific provisions. The new guidance will become effective for the Company beginning in the first quarter of fiscal year 2020, with early adoption permitted. ASU 2016-02 will be adopted on a modified retrospective transition basis for leases existing at, or entered into after, the beginning of the earliest comparative period presented in the financial statements. The Company is currently evaluating the impact of this standard on its consolidated financial statements and disclosures.</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March 2016, the FASB issued ASU 2016-05, Derivatives and Hedging (ASC 815). ASU 2016-05 clarifies that a change in the counterparty to a derivative instrument, in and of itself, does not require dedesignation of a hedging relationship. This guidance became effective for the Company beginning in the first quarter of fiscal year 2018. The Company adopted this guidance in the first quarter of fiscal year 2018 on a prospective basis and the guidance did not have a material impact on the Company’s consolidated financial statements and disclosures.</w:t>
      </w:r>
    </w:p>
    <w:p>
      <w:pPr>
        <w:spacing w:after="0" w:line="11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March 2016, the FASB issued ASU 2016-06, Derivatives and Hedging (ASC 815). ASU 2016-06 clarifies the requirements for assessing whether contingent put or call option in a debt instrument qualifies as a separate derivative. The new guidance is required to be applied on a modified retrospective basis to all existing and future debt instruments of the fiscal year for which the amendments are effective. This guidance became effective for the Company beginning in the first quarter of fiscal year 2018. The Company adopted this guidance in the first quarter of fiscal year 2018 on a modified retrospective basis and the guidance did not have a material impact on the Company’s consolidated financial statements and disclosures.</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March 2016, the FASB issued ASU 2016-07, Investment — Equity Method and Joint Ventures (ASC 323). ASU 2016-07 eliminates the requirement to apply the equity method of accounting retrospectively when a reporting entity obtains significant influence over a previously held investment. This guidance became effective for the Company beginning in the first quarter of fiscal year 2018. The Company adopted this guidance in the first quarter of fiscal year 2018 on a prospective basis and the guidance did not have a material impact on the Company’s consolidated financial statements and disclosures.</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March 2016, the FASB issued ASU 2016-09, Compensation — Stock Compensation (ASC 718). ASU 2016-09 simplifies various aspects related to how share-based payments are accounted for and presented in the financial statements. The new guidance became effective for the Company beginning in fiscal year 2018. The Company adopted this guidance in the first quarter of fiscal year 2018. On a prospective basis the Company recognizes excess tax benefits or deficiencies on vesting or settlement of awards as discrete items within income tax benefit or provision within net income (loss) and the related cash flows classified within operating activities. With respect to the forfeiture accounting policy election, the Company elected to account for forfeitures as they occur, adopted on a modified retrospective basis as a cumulative effect adjustment to retained earnings. The election to account for forfeitures as they occur did not have a material impact on the Company’s consolidated financial statements and disclosures. See Note 9 for additional information regarding the impact of the adoption of this guidance.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June 2016, the FASB issued ASU 2016-13, Financial Instruments — Credit Losses (ASC 326). ASU 2016-13 requires credit losses on most financial assets measured at amortized cost and certain other instruments to be measured using an expected credit loss model (referred to as the current expected credit loss (CECL) model). It also modifies the impairment model for available-for-sale debt securities and provides for a simplified accounting model for purchased financial assets with credit deterioration since their origination. The new guidance will become effective for the Company beginning in fiscal year 2021, with early adoption permitted. The new guidance is required to be applied on a modified-retrospective basis. The Company is currently evaluating the impact of this standard on its consolidated financial statements and disclosures.</w:t>
      </w:r>
    </w:p>
    <w:p>
      <w:pPr>
        <w:spacing w:after="0" w:line="12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August 2016, the FASB issued ASU 2016-15, Statement of Cash Flows (ASC 230). ASU 2016-15 makes eight targeted changes to how companies present and classify certain cash receipts and cash payments in the statement of cash flows. The new standard will become effective for the Company beginning in fiscal year 2019, with early adoption permitted. The new standard will require adoption on a retrospective basis unless it is impracticable to apply, in which case the Company would be required to apply the amendments prospectively as of the earliest date practicable. The Company early adopted the guidance on a retrospective basis in the second quarter of fiscal year 2018 and as a result cash payments for debt prepayment and extinguishment are classified as cash outflows for financing activities. Otherwise the adoption of this guidance did not have a material impact on the Company’s consolidated financial statements and disclosures.</w:t>
      </w:r>
    </w:p>
    <w:p>
      <w:pPr>
        <w:spacing w:after="0" w:line="14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October 2016, the FASB issued ASU 2016-16, Income Taxes (ASC 740). ASU 2016-16 requires that an entity should recognize the income tax consequences of an intra-entity transfer of an asset other than inventory when the transfer occurs as opposed to when the asset has been sold to an outside party. The new standard will become effective for the Company beginning in fiscal year 2019, with early adoption permitted. The new standard will require adoption on a modified retrospective basis through cumulative-effect adjustment directly to retained earnings as of the beginning of the period. The Company is currently evaluating the impact of this standard on its consolidated financial statements and disclosures.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October 2016, the FASB issued ASU 2016-17, Consolidation: Interests Held through Related Parties That Are Under Common Control (ASC 810). The amendments change how a reporting entity that is the single decision maker of a variable interest entity should treat indirect interests in the entity held through related parties that are under common control with the reporting entity when determining whether it is the primary beneficiary of that variable interest entity. The new standard became effective for the Company beginning in the first quarter of fiscal year 2018. The Company adopted this guidance in the first quarter of fiscal year 2018 on a retrospective basis and the guidance did not have a material impact on the Company’s consolidated financial statements and disclosures.</w:t>
      </w:r>
    </w:p>
    <w:p>
      <w:pPr>
        <w:spacing w:after="0" w:line="116" w:lineRule="exact"/>
        <w:rPr>
          <w:sz w:val="20"/>
          <w:szCs w:val="20"/>
          <w:color w:val="auto"/>
        </w:rPr>
      </w:pPr>
    </w:p>
    <w:p>
      <w:pPr>
        <w:jc w:val="both"/>
        <w:ind w:right="220" w:firstLine="456"/>
        <w:spacing w:after="0" w:line="303" w:lineRule="auto"/>
        <w:rPr>
          <w:sz w:val="20"/>
          <w:szCs w:val="20"/>
          <w:color w:val="auto"/>
        </w:rPr>
      </w:pPr>
      <w:r>
        <w:rPr>
          <w:rFonts w:ascii="Arial" w:cs="Arial" w:eastAsia="Arial" w:hAnsi="Arial"/>
          <w:sz w:val="15"/>
          <w:szCs w:val="15"/>
          <w:color w:val="auto"/>
        </w:rPr>
        <w:t>In January 2017, the FASB issued ASU 2017-01, Business Combinations: Clarifying the Definition of a Business (ASC 805). ASU 2017-01 clarifies the definition of a business with the objective of adding guidance to assist entities with evaluating whether transactions should be accounted for as acquisitions (or disposals) of assets or businesses. The definition of a business affects many areas of accounting including acquisitions, disposals, goodwill, and consolidation.</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new standard will become effective for the Company beginning in fiscal year 2019, with early adoption permitted with limitations. The Company is currently evaluating the impact of this standard on its consolidated financial statements and disclosures.</w:t>
      </w:r>
    </w:p>
    <w:p>
      <w:pPr>
        <w:spacing w:after="0" w:line="138"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In January 2017, the FASB issued ASU 2017-04, Intangibles — Goodwill and Other: Simplifying the Test for Goodwill Impairment (ASC 350). ASU 2017-04 removes Step 2 from the goodwill impairment test. The standard will become effective for the Company beginning in fiscal year 2021, with early adoption permitted. The Company is currently evaluating the impact of this standard on its consolidated financial statements and disclosures.</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February 2017, the FASB issued ASU 2017-05, Other Income — Gains and Losses from the Derecognition of Nonfinancial Assets (ASC 610-20): Clarifying the Scope of Asset Derecognition Guidance and Accounting for Partial Sales of Nonfinancial Assets. ASU 2017-05 clarifies the scope and accounting of a financial asset that meets the definition of an “in-substance nonfinancial asset” and defines the term “in-substance nonfinancial asset.” ASU 2017-05 also adds guidance for partial sales of nonfinancial assets. The standard will become effective for the Company in fiscal year 2019, with early adoption permitted. The Company is currently evaluating the impact of this standard on its consolidated financial statements and disclosures.</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March 2017, the FASB issued ASU 2017-08, Receivables — Nonrefundable Fees and Other Costs (ASC 310-20): Premium Amortization on Purchased Callable Debt Securities. ASU 2017-08 amends the amortization period for certain callable debt securities held at a premium. The amendments require the premium to be amortized to the earliest call date. The standard will become effective for the Company beginning in fiscal year 2020, with early adoption permitted. The Company is currently evaluating the impact of this standard on its consolidated financial statements and disclosures.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May 2017, the FASB issued ASU 2017-09, Compensation — Stock Compensation (ASC 718): Scope of Modification Accounting. ASU 2017-09 provides guidance about which changes to the terms or conditions of a share-based payment award require an entity to apply modification accounting. The standard will become effective for the Company beginning in fiscal year 2019, with early adoption permitted. The Company is currently evaluating the impact of this standard on its consolidated financial statements and disclosures.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May 2017, the FASB issued ASU 2017-10, Service Concession Arrangements (ASC 853): Determining the Customer of the Operation Services. ASU 2017-10 provides clarity on determining the customer in a service concession arrangement. The standard will become effective for the Company beginning in fiscal year 2019, with early adoption permitted. The new standard will require adoption on a modified retrospective approach by recording a cumulative-effect adjustment to equity, beginning with the earliest period presented, or a retrospective approach. The Company is currently evaluating the impact of this standard on its consolidated financial statements and disclosures.</w:t>
      </w:r>
    </w:p>
    <w:p>
      <w:pPr>
        <w:spacing w:after="0" w:line="14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August 2017, the FASB issued ASU 2017-12, Derivatives and Hedging (Topic 815): Targeted Improvements to Accounting for Hedging Activities. ASU 2017-12 improves the financial reporting of hedging relationships to better portray the economic results of an entity’s risk management activities in its financial statements and make certain targeted improvements to simplify the application of the hedge accounting guidance in current GAAP. The amendments in this update better align an entity’s risk management activities and financial reporting for hedging relationships through changes to both the designation and measurement guidance for qualifying hedging relationships and presentation of hedge results. The standard will become effective for the Company beginning in fiscal year 2020, with early adoption permitted. The Company is currently evaluating the impact of this standard on its consolidated financial statements and disclosures.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7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61"/>
        </w:trPr>
        <w:tc>
          <w:tcPr>
            <w:tcW w:w="7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4"/>
          </w:tcPr>
          <w:p>
            <w:pPr>
              <w:jc w:val="right"/>
              <w:ind w:right="514"/>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Billed</w:t>
            </w:r>
          </w:p>
        </w:tc>
        <w:tc>
          <w:tcPr>
            <w:tcW w:w="1280" w:type="dxa"/>
            <w:vAlign w:val="bottom"/>
            <w:gridSpan w:val="2"/>
          </w:tcPr>
          <w:p>
            <w:pPr>
              <w:ind w:left="1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157,903</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145,626</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Unbilled</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96,528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119,565</w:t>
            </w:r>
          </w:p>
        </w:tc>
        <w:tc>
          <w:tcPr>
            <w:tcW w:w="0" w:type="dxa"/>
            <w:vAlign w:val="bottom"/>
          </w:tcPr>
          <w:p>
            <w:pPr>
              <w:spacing w:after="0"/>
              <w:rPr>
                <w:sz w:val="1"/>
                <w:szCs w:val="1"/>
                <w:color w:val="auto"/>
              </w:rPr>
            </w:pP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Allowance for doubtful accounts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(2,552)</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251,879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263,721</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8"/>
                <w:szCs w:val="18"/>
                <w:color w:val="auto"/>
              </w:rPr>
              <w:t>Inventories:</w:t>
            </w: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8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Raw materials</w:t>
            </w:r>
          </w:p>
        </w:tc>
        <w:tc>
          <w:tcPr>
            <w:tcW w:w="12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56,096</w:t>
            </w:r>
          </w:p>
        </w:tc>
        <w:tc>
          <w:tcPr>
            <w:tcW w:w="0" w:type="dxa"/>
            <w:vAlign w:val="bottom"/>
          </w:tcPr>
          <w:p>
            <w:pPr>
              <w:spacing w:after="0"/>
              <w:rPr>
                <w:sz w:val="1"/>
                <w:szCs w:val="1"/>
                <w:color w:val="auto"/>
              </w:rPr>
            </w:pP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Work in process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42,216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25,820</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Finished goods</w:t>
            </w:r>
          </w:p>
        </w:tc>
        <w:tc>
          <w:tcPr>
            <w:tcW w:w="1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80,175</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80" w:type="dxa"/>
            <w:vAlign w:val="bottom"/>
          </w:tcPr>
          <w:p>
            <w:pPr>
              <w:spacing w:after="0"/>
              <w:rPr>
                <w:sz w:val="19"/>
                <w:szCs w:val="19"/>
                <w:color w:val="auto"/>
              </w:rPr>
            </w:pPr>
          </w:p>
        </w:tc>
        <w:tc>
          <w:tcPr>
            <w:tcW w:w="1280" w:type="dxa"/>
            <w:vAlign w:val="bottom"/>
            <w:gridSpan w:val="2"/>
          </w:tcPr>
          <w:p>
            <w:pPr>
              <w:ind w:left="1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181,399</w:t>
            </w:r>
          </w:p>
        </w:tc>
        <w:tc>
          <w:tcPr>
            <w:tcW w:w="4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163,201</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Prepaid expenses</w:t>
            </w:r>
          </w:p>
        </w:tc>
        <w:tc>
          <w:tcPr>
            <w:tcW w:w="1280" w:type="dxa"/>
            <w:vAlign w:val="bottom"/>
            <w:gridSpan w:val="2"/>
          </w:tcPr>
          <w:p>
            <w:pPr>
              <w:ind w:left="1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61,841</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51,856</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10,548</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80" w:type="dxa"/>
            <w:vAlign w:val="bottom"/>
          </w:tcPr>
          <w:p>
            <w:pPr>
              <w:spacing w:after="0"/>
              <w:rPr>
                <w:sz w:val="19"/>
                <w:szCs w:val="19"/>
                <w:color w:val="auto"/>
              </w:rPr>
            </w:pPr>
          </w:p>
        </w:tc>
        <w:tc>
          <w:tcPr>
            <w:tcW w:w="1280" w:type="dxa"/>
            <w:vAlign w:val="bottom"/>
            <w:gridSpan w:val="2"/>
          </w:tcPr>
          <w:p>
            <w:pPr>
              <w:ind w:left="1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72,389</w:t>
            </w:r>
          </w:p>
        </w:tc>
        <w:tc>
          <w:tcPr>
            <w:tcW w:w="4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57,836</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Satellites (estimated useful life of 10-17 years)</w:t>
            </w:r>
          </w:p>
        </w:tc>
        <w:tc>
          <w:tcPr>
            <w:tcW w:w="1280" w:type="dxa"/>
            <w:vAlign w:val="bottom"/>
            <w:gridSpan w:val="2"/>
          </w:tcPr>
          <w:p>
            <w:pPr>
              <w:ind w:left="1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551,201</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559,380</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lease of satellite capacity — Anik F2 (estimated useful life of 10 years)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99,090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99,090</w:t>
            </w:r>
          </w:p>
        </w:tc>
        <w:tc>
          <w:tcPr>
            <w:tcW w:w="0" w:type="dxa"/>
            <w:vAlign w:val="bottom"/>
          </w:tcPr>
          <w:p>
            <w:pPr>
              <w:spacing w:after="0"/>
              <w:rPr>
                <w:sz w:val="1"/>
                <w:szCs w:val="1"/>
                <w:color w:val="auto"/>
              </w:rPr>
            </w:pPr>
          </w:p>
        </w:tc>
      </w:tr>
      <w:tr>
        <w:trPr>
          <w:trHeight w:val="223"/>
        </w:trPr>
        <w:tc>
          <w:tcPr>
            <w:tcW w:w="7180" w:type="dxa"/>
            <w:vAlign w:val="bottom"/>
          </w:tcPr>
          <w:p>
            <w:pPr>
              <w:ind w:left="440"/>
              <w:spacing w:after="0"/>
              <w:rPr>
                <w:sz w:val="20"/>
                <w:szCs w:val="20"/>
                <w:color w:val="auto"/>
              </w:rPr>
            </w:pPr>
            <w:r>
              <w:rPr>
                <w:rFonts w:ascii="Arial" w:cs="Arial" w:eastAsia="Arial" w:hAnsi="Arial"/>
                <w:sz w:val="18"/>
                <w:szCs w:val="18"/>
                <w:color w:val="auto"/>
              </w:rPr>
              <w:t>Satellites under construction</w:t>
            </w:r>
          </w:p>
        </w:tc>
        <w:tc>
          <w:tcPr>
            <w:tcW w:w="1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858,246</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1,508,537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1,434,824</w:t>
            </w:r>
          </w:p>
        </w:tc>
        <w:tc>
          <w:tcPr>
            <w:tcW w:w="0" w:type="dxa"/>
            <w:vAlign w:val="bottom"/>
          </w:tcPr>
          <w:p>
            <w:pPr>
              <w:spacing w:after="0"/>
              <w:rPr>
                <w:sz w:val="1"/>
                <w:szCs w:val="1"/>
                <w:color w:val="auto"/>
              </w:rPr>
            </w:pP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Less: accumulated depreciation and amortization</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(345,686)</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(326,554)</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1,162,851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1,108,270</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8"/>
                <w:szCs w:val="18"/>
                <w:color w:val="auto"/>
              </w:rPr>
              <w:t>Property and equipment, net:</w:t>
            </w: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8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Equipment and software (estimated useful life of 2-7 years)</w:t>
            </w:r>
          </w:p>
        </w:tc>
        <w:tc>
          <w:tcPr>
            <w:tcW w:w="12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741,635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679,008</w:t>
            </w:r>
          </w:p>
        </w:tc>
        <w:tc>
          <w:tcPr>
            <w:tcW w:w="0" w:type="dxa"/>
            <w:vAlign w:val="bottom"/>
          </w:tcPr>
          <w:p>
            <w:pPr>
              <w:spacing w:after="0"/>
              <w:rPr>
                <w:sz w:val="1"/>
                <w:szCs w:val="1"/>
                <w:color w:val="auto"/>
              </w:rPr>
            </w:pP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CPE leased equipment (estimated useful life of 4-5 years)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260,219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271,917</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Furniture and fixtures (estimated useful life of 7 years)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30,539</w:t>
            </w:r>
          </w:p>
        </w:tc>
        <w:tc>
          <w:tcPr>
            <w:tcW w:w="0" w:type="dxa"/>
            <w:vAlign w:val="bottom"/>
          </w:tcPr>
          <w:p>
            <w:pPr>
              <w:spacing w:after="0"/>
              <w:rPr>
                <w:sz w:val="1"/>
                <w:szCs w:val="1"/>
                <w:color w:val="auto"/>
              </w:rPr>
            </w:pP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Leasehold improvements (estimated useful life of 2-17 years)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89,456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80,727</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Building (estimated useful life of 24 years)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8,923</w:t>
            </w:r>
          </w:p>
        </w:tc>
        <w:tc>
          <w:tcPr>
            <w:tcW w:w="0" w:type="dxa"/>
            <w:vAlign w:val="bottom"/>
          </w:tcPr>
          <w:p>
            <w:pPr>
              <w:spacing w:after="0"/>
              <w:rPr>
                <w:sz w:val="1"/>
                <w:szCs w:val="1"/>
                <w:color w:val="auto"/>
              </w:rPr>
            </w:pP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Land</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14,573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14,573</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Construction in progress</w:t>
            </w:r>
          </w:p>
        </w:tc>
        <w:tc>
          <w:tcPr>
            <w:tcW w:w="1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140,667</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1,287,903</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1,202,589</w:t>
            </w:r>
          </w:p>
        </w:tc>
        <w:tc>
          <w:tcPr>
            <w:tcW w:w="0" w:type="dxa"/>
            <w:vAlign w:val="bottom"/>
          </w:tcPr>
          <w:p>
            <w:pPr>
              <w:spacing w:after="0"/>
              <w:rPr>
                <w:sz w:val="1"/>
                <w:szCs w:val="1"/>
                <w:color w:val="auto"/>
              </w:rPr>
            </w:pPr>
          </w:p>
        </w:tc>
      </w:tr>
      <w:tr>
        <w:trPr>
          <w:trHeight w:val="217"/>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accumulated depreciation</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(710,386)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(661,981)</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80" w:type="dxa"/>
            <w:vAlign w:val="bottom"/>
          </w:tcPr>
          <w:p>
            <w:pPr>
              <w:spacing w:after="0"/>
              <w:rPr>
                <w:sz w:val="19"/>
                <w:szCs w:val="19"/>
                <w:color w:val="auto"/>
              </w:rPr>
            </w:pPr>
          </w:p>
        </w:tc>
        <w:tc>
          <w:tcPr>
            <w:tcW w:w="1280" w:type="dxa"/>
            <w:vAlign w:val="bottom"/>
            <w:gridSpan w:val="2"/>
          </w:tcPr>
          <w:p>
            <w:pPr>
              <w:ind w:left="1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577,517</w:t>
            </w:r>
          </w:p>
        </w:tc>
        <w:tc>
          <w:tcPr>
            <w:tcW w:w="4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540,608</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Technology (weighted average useful life of 6 years)</w:t>
            </w:r>
          </w:p>
        </w:tc>
        <w:tc>
          <w:tcPr>
            <w:tcW w:w="1280" w:type="dxa"/>
            <w:vAlign w:val="bottom"/>
            <w:gridSpan w:val="2"/>
          </w:tcPr>
          <w:p>
            <w:pPr>
              <w:ind w:left="1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89,580</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87,592</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Contracts and customer relationships (weighted average useful life of 7 years)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103,540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103,034</w:t>
            </w:r>
          </w:p>
        </w:tc>
        <w:tc>
          <w:tcPr>
            <w:tcW w:w="0" w:type="dxa"/>
            <w:vAlign w:val="bottom"/>
          </w:tcPr>
          <w:p>
            <w:pPr>
              <w:spacing w:after="0"/>
              <w:rPr>
                <w:sz w:val="1"/>
                <w:szCs w:val="1"/>
                <w:color w:val="auto"/>
              </w:rPr>
            </w:pP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Satellite co-location rights (weighted average useful life of 9 years)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8,600</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 name (weighted average useful life of 3 years)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5,940</w:t>
            </w:r>
          </w:p>
        </w:tc>
        <w:tc>
          <w:tcPr>
            <w:tcW w:w="0" w:type="dxa"/>
            <w:vAlign w:val="bottom"/>
          </w:tcPr>
          <w:p>
            <w:pPr>
              <w:spacing w:after="0"/>
              <w:rPr>
                <w:sz w:val="1"/>
                <w:szCs w:val="1"/>
                <w:color w:val="auto"/>
              </w:rPr>
            </w:pPr>
          </w:p>
        </w:tc>
      </w:tr>
      <w:tr>
        <w:trPr>
          <w:trHeight w:val="223"/>
        </w:trPr>
        <w:tc>
          <w:tcPr>
            <w:tcW w:w="7180" w:type="dxa"/>
            <w:vAlign w:val="bottom"/>
          </w:tcPr>
          <w:p>
            <w:pPr>
              <w:ind w:left="440"/>
              <w:spacing w:after="0"/>
              <w:rPr>
                <w:sz w:val="20"/>
                <w:szCs w:val="20"/>
                <w:color w:val="auto"/>
              </w:rPr>
            </w:pPr>
            <w:r>
              <w:rPr>
                <w:rFonts w:ascii="Arial" w:cs="Arial" w:eastAsia="Arial" w:hAnsi="Arial"/>
                <w:sz w:val="18"/>
                <w:szCs w:val="18"/>
                <w:color w:val="auto"/>
              </w:rPr>
              <w:t>Other (weighted average useful life of 6 years)</w:t>
            </w:r>
          </w:p>
        </w:tc>
        <w:tc>
          <w:tcPr>
            <w:tcW w:w="1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10,065</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217,725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215,091</w:t>
            </w:r>
          </w:p>
        </w:tc>
        <w:tc>
          <w:tcPr>
            <w:tcW w:w="0" w:type="dxa"/>
            <w:vAlign w:val="bottom"/>
          </w:tcPr>
          <w:p>
            <w:pPr>
              <w:spacing w:after="0"/>
              <w:rPr>
                <w:sz w:val="1"/>
                <w:szCs w:val="1"/>
                <w:color w:val="auto"/>
              </w:rPr>
            </w:pP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Less: accumulated amortization</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(180,929)</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(173,414)</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41,677</w:t>
            </w:r>
          </w:p>
        </w:tc>
        <w:tc>
          <w:tcPr>
            <w:tcW w:w="0" w:type="dxa"/>
            <w:vAlign w:val="bottom"/>
          </w:tcPr>
          <w:p>
            <w:pPr>
              <w:spacing w:after="0"/>
              <w:rPr>
                <w:sz w:val="1"/>
                <w:szCs w:val="1"/>
                <w:color w:val="auto"/>
              </w:rPr>
            </w:pPr>
          </w:p>
        </w:tc>
      </w:tr>
      <w:tr>
        <w:trPr>
          <w:trHeight w:val="20"/>
        </w:trPr>
        <w:tc>
          <w:tcPr>
            <w:tcW w:w="7180" w:type="dxa"/>
            <w:vAlign w:val="bottom"/>
            <w:vMerge w:val="restart"/>
          </w:tcPr>
          <w:p>
            <w:pPr>
              <w:ind w:left="5160"/>
              <w:spacing w:after="0"/>
              <w:rPr>
                <w:sz w:val="20"/>
                <w:szCs w:val="20"/>
                <w:color w:val="auto"/>
              </w:rPr>
            </w:pPr>
            <w:r>
              <w:rPr>
                <w:rFonts w:ascii="Arial" w:cs="Arial" w:eastAsia="Arial" w:hAnsi="Arial"/>
                <w:sz w:val="18"/>
                <w:szCs w:val="18"/>
                <w:color w:val="auto"/>
              </w:rPr>
              <w:t>16</w:t>
            </w: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18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75"/>
              <w:spacing w:after="0"/>
              <w:rPr>
                <w:sz w:val="20"/>
                <w:szCs w:val="20"/>
                <w:color w:val="auto"/>
              </w:rPr>
            </w:pPr>
            <w:r>
              <w:rPr>
                <w:rFonts w:ascii="Arial" w:cs="Arial" w:eastAsia="Arial" w:hAnsi="Arial"/>
                <w:sz w:val="14"/>
                <w:szCs w:val="14"/>
                <w:b w:val="1"/>
                <w:bCs w:val="1"/>
                <w:color w:val="auto"/>
              </w:rPr>
              <w:t>As of</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840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September 30,</w:t>
            </w:r>
          </w:p>
        </w:tc>
        <w:tc>
          <w:tcPr>
            <w:tcW w:w="560" w:type="dxa"/>
            <w:vAlign w:val="bottom"/>
          </w:tcPr>
          <w:p>
            <w:pPr>
              <w:spacing w:after="0"/>
              <w:rPr>
                <w:sz w:val="12"/>
                <w:szCs w:val="12"/>
                <w:color w:val="auto"/>
              </w:rPr>
            </w:pPr>
          </w:p>
        </w:tc>
        <w:tc>
          <w:tcPr>
            <w:tcW w:w="7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March 31,</w:t>
            </w:r>
          </w:p>
        </w:tc>
      </w:tr>
      <w:tr>
        <w:trPr>
          <w:trHeight w:val="161"/>
        </w:trPr>
        <w:tc>
          <w:tcPr>
            <w:tcW w:w="8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2017</w:t>
            </w:r>
          </w:p>
        </w:tc>
        <w:tc>
          <w:tcPr>
            <w:tcW w:w="60" w:type="dxa"/>
            <w:vAlign w:val="bottom"/>
          </w:tcPr>
          <w:p>
            <w:pPr>
              <w:spacing w:after="0"/>
              <w:rPr>
                <w:sz w:val="14"/>
                <w:szCs w:val="14"/>
                <w:color w:val="auto"/>
              </w:rPr>
            </w:pPr>
          </w:p>
        </w:tc>
      </w:tr>
      <w:tr>
        <w:trPr>
          <w:trHeight w:val="142"/>
        </w:trPr>
        <w:tc>
          <w:tcPr>
            <w:tcW w:w="8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Investment in unconsolidated affiliate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153,973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141,894</w:t>
            </w:r>
          </w:p>
        </w:tc>
      </w:tr>
      <w:tr>
        <w:trPr>
          <w:trHeight w:val="216"/>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209,477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134,764</w:t>
            </w: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Capitalized software costs, net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225,163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203,686</w:t>
            </w:r>
          </w:p>
        </w:tc>
      </w:tr>
      <w:tr>
        <w:trPr>
          <w:trHeight w:val="216"/>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Patents, orbital slots and other licenses, net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16,500</w:t>
            </w: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37,177</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32,522</w:t>
            </w:r>
          </w:p>
        </w:tc>
      </w:tr>
      <w:tr>
        <w:trPr>
          <w:trHeight w:val="20"/>
        </w:trPr>
        <w:tc>
          <w:tcPr>
            <w:tcW w:w="8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84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642,090</w:t>
            </w: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529,366</w:t>
            </w:r>
          </w:p>
        </w:tc>
      </w:tr>
      <w:tr>
        <w:trPr>
          <w:trHeight w:val="20"/>
        </w:trPr>
        <w:tc>
          <w:tcPr>
            <w:tcW w:w="8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Collections in excess of revenues and deferred revenues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86,293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76,682</w:t>
            </w:r>
          </w:p>
        </w:tc>
      </w:tr>
      <w:tr>
        <w:trPr>
          <w:trHeight w:val="216"/>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employee compensation</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41,691</w:t>
            </w: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Accrued vacation</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34,311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33,214</w:t>
            </w:r>
          </w:p>
        </w:tc>
      </w:tr>
      <w:tr>
        <w:trPr>
          <w:trHeight w:val="216"/>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Warranty reserve, current portion</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7,796</w:t>
            </w: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54,108</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65,576</w:t>
            </w:r>
          </w:p>
        </w:tc>
      </w:tr>
      <w:tr>
        <w:trPr>
          <w:trHeight w:val="20"/>
        </w:trPr>
        <w:tc>
          <w:tcPr>
            <w:tcW w:w="8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84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207,000</w:t>
            </w: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224,959</w:t>
            </w:r>
          </w:p>
        </w:tc>
      </w:tr>
      <w:tr>
        <w:trPr>
          <w:trHeight w:val="20"/>
        </w:trPr>
        <w:tc>
          <w:tcPr>
            <w:tcW w:w="8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Deferred revenue, long-term portion</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71,666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4,617</w:t>
            </w:r>
          </w:p>
        </w:tc>
      </w:tr>
      <w:tr>
        <w:trPr>
          <w:trHeight w:val="216"/>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rent, long-term portion</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12,219</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10,743</w:t>
            </w: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Warranty reserve, long-term portion</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2,145</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3,262</w:t>
            </w:r>
          </w:p>
        </w:tc>
      </w:tr>
      <w:tr>
        <w:trPr>
          <w:trHeight w:val="216"/>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Satellite performance incentives obligation, long-term portion</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19,164</w:t>
            </w: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Deferred income taxes, long-term</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1,936</w:t>
            </w:r>
          </w:p>
        </w:tc>
      </w:tr>
      <w:tr>
        <w:trPr>
          <w:trHeight w:val="216"/>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w:t>
            </w:r>
          </w:p>
        </w:tc>
      </w:tr>
      <w:tr>
        <w:trPr>
          <w:trHeight w:val="20"/>
        </w:trPr>
        <w:tc>
          <w:tcPr>
            <w:tcW w:w="8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84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112,979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42,722</w:t>
            </w:r>
          </w:p>
        </w:tc>
      </w:tr>
      <w:tr>
        <w:trPr>
          <w:trHeight w:val="20"/>
        </w:trPr>
        <w:tc>
          <w:tcPr>
            <w:tcW w:w="8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prioritizes the inputs used to measure fair value from market-based assumptions to entity specific assumptions:</w:t>
      </w:r>
    </w:p>
    <w:p>
      <w:pPr>
        <w:spacing w:after="0" w:line="51"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90" w:lineRule="exact"/>
        <w:rPr>
          <w:rFonts w:ascii="Arial" w:cs="Arial" w:eastAsia="Arial" w:hAnsi="Arial"/>
          <w:sz w:val="18"/>
          <w:szCs w:val="18"/>
          <w:color w:val="auto"/>
        </w:rPr>
      </w:pPr>
    </w:p>
    <w:p>
      <w:pPr>
        <w:ind w:left="440" w:right="40" w:hanging="324"/>
        <w:spacing w:after="0" w:line="259"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59"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following tables present the Company’s hierarchy for its assets measured at fair value on a recurring basis as of September 30, 2017 and assets and liabilities measured at fair value on a recurring basis as of March 31, 2017. The Company had no liabilities measured at fair value on a recurring basis as of September 30, 2017:</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8"/>
              <w:spacing w:after="0"/>
              <w:rPr>
                <w:sz w:val="20"/>
                <w:szCs w:val="20"/>
                <w:color w:val="auto"/>
              </w:rPr>
            </w:pPr>
            <w:r>
              <w:rPr>
                <w:rFonts w:ascii="Arial" w:cs="Arial" w:eastAsia="Arial" w:hAnsi="Arial"/>
                <w:sz w:val="14"/>
                <w:szCs w:val="14"/>
                <w:b w:val="1"/>
                <w:bCs w:val="1"/>
                <w:color w:val="auto"/>
                <w:w w:val="84"/>
              </w:rPr>
              <w:t>Fair Value as of</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September 30, 2017</w:t>
            </w:r>
          </w:p>
        </w:tc>
        <w:tc>
          <w:tcPr>
            <w:tcW w:w="50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4"/>
                <w:szCs w:val="14"/>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4"/>
              </w:rPr>
              <w:t>Level 2</w:t>
            </w:r>
          </w:p>
        </w:tc>
        <w:tc>
          <w:tcPr>
            <w:tcW w:w="240" w:type="dxa"/>
            <w:vAlign w:val="bottom"/>
          </w:tcPr>
          <w:p>
            <w:pPr>
              <w:spacing w:after="0"/>
              <w:rPr>
                <w:sz w:val="14"/>
                <w:szCs w:val="14"/>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92"/>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ind w:left="44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Cash equivalents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1,006</w:t>
            </w:r>
          </w:p>
        </w:tc>
        <w:tc>
          <w:tcPr>
            <w:tcW w:w="1380" w:type="dxa"/>
            <w:vAlign w:val="bottom"/>
            <w:gridSpan w:val="4"/>
          </w:tcPr>
          <w:p>
            <w:pPr>
              <w:ind w:left="500"/>
              <w:spacing w:after="0"/>
              <w:rPr>
                <w:sz w:val="20"/>
                <w:szCs w:val="20"/>
                <w:color w:val="auto"/>
              </w:rPr>
            </w:pPr>
            <w:r>
              <w:rPr>
                <w:rFonts w:ascii="Arial" w:cs="Arial" w:eastAsia="Arial" w:hAnsi="Arial"/>
                <w:sz w:val="18"/>
                <w:szCs w:val="18"/>
                <w:color w:val="auto"/>
              </w:rPr>
              <w:t>$1,006</w:t>
            </w:r>
          </w:p>
        </w:tc>
        <w:tc>
          <w:tcPr>
            <w:tcW w:w="800" w:type="dxa"/>
            <w:vAlign w:val="bottom"/>
            <w:gridSpan w:val="4"/>
          </w:tcPr>
          <w:p>
            <w:pPr>
              <w:ind w:left="120"/>
              <w:spacing w:after="0"/>
              <w:rPr>
                <w:sz w:val="20"/>
                <w:szCs w:val="20"/>
                <w:color w:val="auto"/>
              </w:rPr>
            </w:pPr>
            <w:r>
              <w:rPr>
                <w:rFonts w:ascii="Arial" w:cs="Arial" w:eastAsia="Arial" w:hAnsi="Arial"/>
                <w:sz w:val="18"/>
                <w:szCs w:val="18"/>
                <w:color w:val="auto"/>
              </w:rPr>
              <w:t>$ —</w:t>
            </w: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forward contracts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80" w:type="dxa"/>
            <w:vAlign w:val="bottom"/>
            <w:gridSpan w:val="2"/>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1,086</w:t>
            </w:r>
          </w:p>
        </w:tc>
        <w:tc>
          <w:tcPr>
            <w:tcW w:w="500" w:type="dxa"/>
            <w:vAlign w:val="bottom"/>
          </w:tcPr>
          <w:p>
            <w:pPr>
              <w:spacing w:after="0"/>
              <w:rPr>
                <w:sz w:val="19"/>
                <w:szCs w:val="19"/>
                <w:color w:val="auto"/>
              </w:rPr>
            </w:pPr>
          </w:p>
        </w:tc>
        <w:tc>
          <w:tcPr>
            <w:tcW w:w="880" w:type="dxa"/>
            <w:vAlign w:val="bottom"/>
            <w:gridSpan w:val="3"/>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1,006</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80</w:t>
            </w: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38"/>
              <w:spacing w:after="0"/>
              <w:rPr>
                <w:sz w:val="20"/>
                <w:szCs w:val="20"/>
                <w:color w:val="auto"/>
              </w:rPr>
            </w:pPr>
            <w:r>
              <w:rPr>
                <w:rFonts w:ascii="Arial" w:cs="Arial" w:eastAsia="Arial" w:hAnsi="Arial"/>
                <w:sz w:val="14"/>
                <w:szCs w:val="14"/>
                <w:b w:val="1"/>
                <w:bCs w:val="1"/>
                <w:color w:val="auto"/>
                <w:w w:val="84"/>
              </w:rPr>
              <w:t>Fair Value as of</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8"/>
              <w:spacing w:after="0"/>
              <w:rPr>
                <w:sz w:val="20"/>
                <w:szCs w:val="20"/>
                <w:color w:val="auto"/>
              </w:rPr>
            </w:pPr>
            <w:r>
              <w:rPr>
                <w:rFonts w:ascii="Arial" w:cs="Arial" w:eastAsia="Arial" w:hAnsi="Arial"/>
                <w:sz w:val="14"/>
                <w:szCs w:val="14"/>
                <w:b w:val="1"/>
                <w:bCs w:val="1"/>
                <w:color w:val="auto"/>
                <w:w w:val="88"/>
              </w:rPr>
              <w:t>March 31, 2017</w:t>
            </w:r>
          </w:p>
        </w:tc>
        <w:tc>
          <w:tcPr>
            <w:tcW w:w="50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4"/>
                <w:szCs w:val="14"/>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4"/>
              </w:rPr>
              <w:t>Level 2</w:t>
            </w:r>
          </w:p>
        </w:tc>
        <w:tc>
          <w:tcPr>
            <w:tcW w:w="240" w:type="dxa"/>
            <w:vAlign w:val="bottom"/>
          </w:tcPr>
          <w:p>
            <w:pPr>
              <w:spacing w:after="0"/>
              <w:rPr>
                <w:sz w:val="14"/>
                <w:szCs w:val="14"/>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92"/>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ind w:left="44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Cash equivalents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2,003</w:t>
            </w:r>
          </w:p>
        </w:tc>
        <w:tc>
          <w:tcPr>
            <w:tcW w:w="500" w:type="dxa"/>
            <w:vAlign w:val="bottom"/>
          </w:tcPr>
          <w:p>
            <w:pPr>
              <w:spacing w:after="0"/>
              <w:rPr>
                <w:sz w:val="18"/>
                <w:szCs w:val="18"/>
                <w:color w:val="auto"/>
              </w:rPr>
            </w:pPr>
          </w:p>
        </w:tc>
        <w:tc>
          <w:tcPr>
            <w:tcW w:w="880" w:type="dxa"/>
            <w:vAlign w:val="bottom"/>
            <w:gridSpan w:val="3"/>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2,003</w:t>
            </w:r>
          </w:p>
        </w:tc>
        <w:tc>
          <w:tcPr>
            <w:tcW w:w="800" w:type="dxa"/>
            <w:vAlign w:val="bottom"/>
            <w:gridSpan w:val="4"/>
          </w:tcPr>
          <w:p>
            <w:pPr>
              <w:ind w:left="120"/>
              <w:spacing w:after="0"/>
              <w:rPr>
                <w:sz w:val="20"/>
                <w:szCs w:val="20"/>
                <w:color w:val="auto"/>
              </w:rPr>
            </w:pPr>
            <w:r>
              <w:rPr>
                <w:rFonts w:ascii="Arial" w:cs="Arial" w:eastAsia="Arial" w:hAnsi="Arial"/>
                <w:sz w:val="18"/>
                <w:szCs w:val="18"/>
                <w:color w:val="auto"/>
              </w:rPr>
              <w:t>$ —</w:t>
            </w: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5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2,003</w:t>
            </w:r>
          </w:p>
        </w:tc>
        <w:tc>
          <w:tcPr>
            <w:tcW w:w="80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forward contracts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 measured at fair value on a recurring basis</w:t>
            </w: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80" w:type="dxa"/>
            <w:vAlign w:val="bottom"/>
            <w:gridSpan w:val="2"/>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w:t>
            </w:r>
          </w:p>
        </w:tc>
        <w:tc>
          <w:tcPr>
            <w:tcW w:w="5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96</w:t>
            </w: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 prices for identical</w:t>
      </w:r>
      <w:r>
        <w:rPr>
          <w:rFonts w:ascii="Arial" w:cs="Arial" w:eastAsia="Arial" w:hAnsi="Arial"/>
          <w:sz w:val="18"/>
          <w:szCs w:val="18"/>
          <w:i w:val="1"/>
          <w:iCs w:val="1"/>
          <w:color w:val="auto"/>
        </w:rPr>
        <w:t xml:space="preserve"> </w:t>
      </w:r>
      <w:r>
        <w:rPr>
          <w:rFonts w:ascii="Arial" w:cs="Arial" w:eastAsia="Arial" w:hAnsi="Arial"/>
          <w:sz w:val="18"/>
          <w:szCs w:val="18"/>
          <w:color w:val="auto"/>
        </w:rPr>
        <w:t>assets in an active market with sufficient volume and frequency of transactions (Level 1).</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 xml:space="preserve">Foreign currency forward contracts </w:t>
      </w:r>
      <w:r>
        <w:rPr>
          <w:rFonts w:ascii="Arial" w:cs="Arial" w:eastAsia="Arial" w:hAnsi="Arial"/>
          <w:sz w:val="16"/>
          <w:szCs w:val="16"/>
          <w:color w:val="auto"/>
        </w:rPr>
        <w:t>— The Company uses derivative financial instruments to manage foreign currency risk relating to foreign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rates. The 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condensed consolidated financial statements and are measured at fair value. Gains and losses resulting from changes in the fair values of those derivative instruments are recorded to earnings or other comprehensive income (loss) depending on the use of the derivative instrument and whether it qualifies for hedge accounting. The Company’s foreign currency forward contracts are valued using standard calculations/models that are primarily based on observable inputs, such as foreign currency exchange rates, or can be corroborated by observable market data (Level 2).</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 The Company’s long-term debt consists of borrowings under its Revolving Credit Facility and Ex-Im Credit Facility (collectively, the</w:t>
      </w:r>
      <w:r>
        <w:rPr>
          <w:rFonts w:ascii="Arial" w:cs="Arial" w:eastAsia="Arial" w:hAnsi="Arial"/>
          <w:sz w:val="16"/>
          <w:szCs w:val="16"/>
          <w:i w:val="1"/>
          <w:iCs w:val="1"/>
          <w:color w:val="auto"/>
        </w:rPr>
        <w:t xml:space="preserve"> </w:t>
      </w:r>
      <w:r>
        <w:rPr>
          <w:rFonts w:ascii="Arial" w:cs="Arial" w:eastAsia="Arial" w:hAnsi="Arial"/>
          <w:sz w:val="16"/>
          <w:szCs w:val="16"/>
          <w:color w:val="auto"/>
        </w:rPr>
        <w:t>Credit Facilities), as well as $700.0 million in aggregate principal amount of 2025 Notes. Long-term debt related to the Revolving Credit Facility is reported at the outstanding principal amount of borrowings, while long-term debt related to the Ex-Im Credit Facility, 2025 Notes and 2020 Notes is reported at amortized cost. However, for disclosure purposes, the Company is required to measure the fair value of outstanding debt on a recurring basis. The fair value of the Company’s outstanding long-term debt as of September 30, 2017 related to the 2025 Notes approximates its carrying amount due to the proximity of the closing of the 2025 Notes compared to the reporting date. As of March 31, 2017, the fair value of the Company’s outstanding long-term debt related to its former 6.875% Notes due 2020 (the 2020 Notes) was determined using quoted prices in active markets (Level 1) and was $587.9 million. The 2020 Notes were repurchased and redeemed in full in connection with the issuance of the 2025 Notes. The fair value of the Company’s long-term debt related to the Revolving Credit Facility approximates its carrying amount due to its variable interest rate, which approximates a market interest rate. As of September 30, 2017 and March 31, 2017, the fair value of the Company’s long-term debt related to the Ex-Im Credit Facility was determined based on a discounted cash flow analysis using observable market interest rates for instruments with similar terms (Level 2) and was approximately $356.9 million and $297.2 million, respectively.</w:t>
      </w:r>
    </w:p>
    <w:p>
      <w:pPr>
        <w:spacing w:after="0" w:line="12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 xml:space="preserve">Satellite performance incentives obligation </w:t>
      </w:r>
      <w:r>
        <w:rPr>
          <w:rFonts w:ascii="Arial" w:cs="Arial" w:eastAsia="Arial" w:hAnsi="Arial"/>
          <w:sz w:val="18"/>
          <w:szCs w:val="18"/>
          <w:color w:val="auto"/>
        </w:rPr>
        <w:t>— The Company’s contract with the manufacturer of ViaSat-1 requires the Company to make monthly in-orbit</w:t>
      </w:r>
      <w:r>
        <w:rPr>
          <w:rFonts w:ascii="Arial" w:cs="Arial" w:eastAsia="Arial" w:hAnsi="Arial"/>
          <w:sz w:val="18"/>
          <w:szCs w:val="18"/>
          <w:i w:val="1"/>
          <w:iCs w:val="1"/>
          <w:color w:val="auto"/>
        </w:rPr>
        <w:t xml:space="preserve"> </w:t>
      </w:r>
      <w:r>
        <w:rPr>
          <w:rFonts w:ascii="Arial" w:cs="Arial" w:eastAsia="Arial" w:hAnsi="Arial"/>
          <w:sz w:val="18"/>
          <w:szCs w:val="18"/>
          <w:color w:val="auto"/>
        </w:rPr>
        <w:t>satellite performance incentive payments, including interest at 7.0%, over 15-year period from December 2011 to December 2026, subject to the continued satisfactory performance of the satellite. The Company recorded the net present value of these expected future payments as a liability and as a component of the cost of the satellite. However, for disclosure purposes, the Company is required to measure the fair value of outstanding satellite performance incentives obligation on a recurring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basis. The fair value of the Company’s outstanding satellite performance incentives obligation is estimated to approximate its carrying value based on current rates (Level 2). As of September 30, 2017 and March 31, 2017, the Company’s estimated satellite performance incentives obligation and accrued interest was $21.5 million and $21.8 million,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Shares Used In Computing Diluted Net (Loss) Income Per Share</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5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24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550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September 30, 2017</w:t>
            </w: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September 30, 2016</w:t>
            </w:r>
          </w:p>
        </w:tc>
        <w:tc>
          <w:tcPr>
            <w:tcW w:w="140" w:type="dxa"/>
            <w:vAlign w:val="bottom"/>
            <w:tcBorders>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September 30, 2017</w:t>
            </w: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September 30, 2016</w:t>
            </w:r>
          </w:p>
        </w:tc>
        <w:tc>
          <w:tcPr>
            <w:tcW w:w="60" w:type="dxa"/>
            <w:vAlign w:val="bottom"/>
          </w:tcPr>
          <w:p>
            <w:pPr>
              <w:spacing w:after="0"/>
              <w:rPr>
                <w:sz w:val="12"/>
                <w:szCs w:val="12"/>
                <w:color w:val="auto"/>
              </w:rPr>
            </w:pPr>
          </w:p>
        </w:tc>
      </w:tr>
      <w:tr>
        <w:trPr>
          <w:trHeight w:val="142"/>
        </w:trPr>
        <w:tc>
          <w:tcPr>
            <w:tcW w:w="5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0" w:type="dxa"/>
            <w:vAlign w:val="bottom"/>
            <w:gridSpan w:val="3"/>
          </w:tcPr>
          <w:p>
            <w:pPr>
              <w:jc w:val="right"/>
              <w:ind w:right="698"/>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8"/>
        </w:trPr>
        <w:tc>
          <w:tcPr>
            <w:tcW w:w="5500" w:type="dxa"/>
            <w:vAlign w:val="bottom"/>
          </w:tcPr>
          <w:p>
            <w:pPr>
              <w:spacing w:after="0"/>
              <w:rPr>
                <w:sz w:val="20"/>
                <w:szCs w:val="20"/>
                <w:color w:val="auto"/>
              </w:rPr>
            </w:pPr>
            <w:r>
              <w:rPr>
                <w:rFonts w:ascii="Arial" w:cs="Arial" w:eastAsia="Arial" w:hAnsi="Arial"/>
                <w:sz w:val="18"/>
                <w:szCs w:val="18"/>
                <w:color w:val="auto"/>
                <w:w w:val="90"/>
              </w:rPr>
              <w:t>Common shares outstanding used in calculating basic net (loss) income per</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5500" w:type="dxa"/>
            <w:vAlign w:val="bottom"/>
          </w:tcPr>
          <w:p>
            <w:pPr>
              <w:ind w:left="220"/>
              <w:spacing w:after="0"/>
              <w:rPr>
                <w:sz w:val="20"/>
                <w:szCs w:val="20"/>
                <w:color w:val="auto"/>
              </w:rPr>
            </w:pPr>
            <w:r>
              <w:rPr>
                <w:rFonts w:ascii="Arial" w:cs="Arial" w:eastAsia="Arial" w:hAnsi="Arial"/>
                <w:sz w:val="18"/>
                <w:szCs w:val="18"/>
                <w:color w:val="auto"/>
              </w:rPr>
              <w:t>share attributable to ViaSat, Inc. common stockholders</w:t>
            </w:r>
          </w:p>
        </w:tc>
        <w:tc>
          <w:tcPr>
            <w:tcW w:w="1140" w:type="dxa"/>
            <w:vAlign w:val="bottom"/>
          </w:tcPr>
          <w:p>
            <w:pPr>
              <w:jc w:val="right"/>
              <w:spacing w:after="0"/>
              <w:rPr>
                <w:sz w:val="20"/>
                <w:szCs w:val="20"/>
                <w:color w:val="auto"/>
              </w:rPr>
            </w:pPr>
            <w:r>
              <w:rPr>
                <w:rFonts w:ascii="Arial" w:cs="Arial" w:eastAsia="Arial" w:hAnsi="Arial"/>
                <w:sz w:val="18"/>
                <w:szCs w:val="18"/>
                <w:color w:val="auto"/>
              </w:rPr>
              <w:t>58,229</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49,503</w:t>
            </w:r>
          </w:p>
        </w:tc>
        <w:tc>
          <w:tcPr>
            <w:tcW w:w="1140" w:type="dxa"/>
            <w:vAlign w:val="bottom"/>
          </w:tcPr>
          <w:p>
            <w:pPr>
              <w:jc w:val="right"/>
              <w:spacing w:after="0"/>
              <w:rPr>
                <w:sz w:val="20"/>
                <w:szCs w:val="20"/>
                <w:color w:val="auto"/>
              </w:rPr>
            </w:pPr>
            <w:r>
              <w:rPr>
                <w:rFonts w:ascii="Arial" w:cs="Arial" w:eastAsia="Arial" w:hAnsi="Arial"/>
                <w:sz w:val="18"/>
                <w:szCs w:val="18"/>
                <w:color w:val="auto"/>
              </w:rPr>
              <w:t>58,039</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49,319</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6"/>
              </w:rPr>
              <w:t>Options to purchase common stock as determined by application of the</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stock method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276</w:t>
            </w: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281</w:t>
            </w:r>
          </w:p>
        </w:tc>
      </w:tr>
      <w:tr>
        <w:trPr>
          <w:trHeight w:val="208"/>
        </w:trPr>
        <w:tc>
          <w:tcPr>
            <w:tcW w:w="5500" w:type="dxa"/>
            <w:vAlign w:val="bottom"/>
          </w:tcPr>
          <w:p>
            <w:pPr>
              <w:spacing w:after="0"/>
              <w:rPr>
                <w:sz w:val="20"/>
                <w:szCs w:val="20"/>
                <w:color w:val="auto"/>
              </w:rPr>
            </w:pPr>
            <w:r>
              <w:rPr>
                <w:rFonts w:ascii="Arial" w:cs="Arial" w:eastAsia="Arial" w:hAnsi="Arial"/>
                <w:sz w:val="18"/>
                <w:szCs w:val="18"/>
                <w:color w:val="auto"/>
                <w:w w:val="89"/>
              </w:rPr>
              <w:t>Restricted stock units to acquire common stock as determined by application</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5500" w:type="dxa"/>
            <w:vAlign w:val="bottom"/>
          </w:tcPr>
          <w:p>
            <w:pPr>
              <w:ind w:left="220"/>
              <w:spacing w:after="0"/>
              <w:rPr>
                <w:sz w:val="20"/>
                <w:szCs w:val="20"/>
                <w:color w:val="auto"/>
              </w:rPr>
            </w:pPr>
            <w:r>
              <w:rPr>
                <w:rFonts w:ascii="Arial" w:cs="Arial" w:eastAsia="Arial" w:hAnsi="Arial"/>
                <w:sz w:val="18"/>
                <w:szCs w:val="18"/>
                <w:color w:val="auto"/>
              </w:rPr>
              <w:t>of the treasury stock method</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669</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637</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4"/>
              </w:rPr>
              <w:t>Potentially issuable shares in connection with certain terms of the ViaSat</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401(k) Profit Sharing Plan and Employee Stock Purchase Plan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85</w:t>
            </w: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r>
      <w:tr>
        <w:trPr>
          <w:trHeight w:val="215"/>
        </w:trPr>
        <w:tc>
          <w:tcPr>
            <w:tcW w:w="5500" w:type="dxa"/>
            <w:vAlign w:val="bottom"/>
          </w:tcPr>
          <w:p>
            <w:pPr>
              <w:spacing w:after="0"/>
              <w:rPr>
                <w:sz w:val="20"/>
                <w:szCs w:val="20"/>
                <w:color w:val="auto"/>
              </w:rPr>
            </w:pPr>
            <w:r>
              <w:rPr>
                <w:rFonts w:ascii="Arial" w:cs="Arial" w:eastAsia="Arial" w:hAnsi="Arial"/>
                <w:sz w:val="18"/>
                <w:szCs w:val="18"/>
                <w:color w:val="auto"/>
                <w:w w:val="90"/>
              </w:rPr>
              <w:t>Shares used in computing diluted net (loss) income per share attributable to</w:t>
            </w: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5500" w:type="dxa"/>
            <w:vAlign w:val="bottom"/>
          </w:tcPr>
          <w:p>
            <w:pPr>
              <w:ind w:left="220"/>
              <w:spacing w:after="0"/>
              <w:rPr>
                <w:sz w:val="20"/>
                <w:szCs w:val="20"/>
                <w:color w:val="auto"/>
              </w:rPr>
            </w:pPr>
            <w:r>
              <w:rPr>
                <w:rFonts w:ascii="Arial" w:cs="Arial" w:eastAsia="Arial" w:hAnsi="Arial"/>
                <w:sz w:val="18"/>
                <w:szCs w:val="18"/>
                <w:color w:val="auto"/>
              </w:rPr>
              <w:t>ViaSat, Inc. common stockholders</w:t>
            </w:r>
          </w:p>
        </w:tc>
        <w:tc>
          <w:tcPr>
            <w:tcW w:w="1140" w:type="dxa"/>
            <w:vAlign w:val="bottom"/>
          </w:tcPr>
          <w:p>
            <w:pPr>
              <w:jc w:val="right"/>
              <w:spacing w:after="0"/>
              <w:rPr>
                <w:sz w:val="20"/>
                <w:szCs w:val="20"/>
                <w:color w:val="auto"/>
              </w:rPr>
            </w:pPr>
            <w:r>
              <w:rPr>
                <w:rFonts w:ascii="Arial" w:cs="Arial" w:eastAsia="Arial" w:hAnsi="Arial"/>
                <w:sz w:val="18"/>
                <w:szCs w:val="18"/>
                <w:color w:val="auto"/>
              </w:rPr>
              <w:t>58,229</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50,533</w:t>
            </w:r>
          </w:p>
        </w:tc>
        <w:tc>
          <w:tcPr>
            <w:tcW w:w="1140" w:type="dxa"/>
            <w:vAlign w:val="bottom"/>
          </w:tcPr>
          <w:p>
            <w:pPr>
              <w:jc w:val="right"/>
              <w:spacing w:after="0"/>
              <w:rPr>
                <w:sz w:val="20"/>
                <w:szCs w:val="20"/>
                <w:color w:val="auto"/>
              </w:rPr>
            </w:pPr>
            <w:r>
              <w:rPr>
                <w:rFonts w:ascii="Arial" w:cs="Arial" w:eastAsia="Arial" w:hAnsi="Arial"/>
                <w:sz w:val="18"/>
                <w:szCs w:val="18"/>
                <w:color w:val="auto"/>
              </w:rPr>
              <w:t>58,039</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50,393</w:t>
            </w:r>
          </w:p>
        </w:tc>
      </w:tr>
      <w:tr>
        <w:trPr>
          <w:trHeight w:val="20"/>
        </w:trPr>
        <w:tc>
          <w:tcPr>
            <w:tcW w:w="55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weighted average number of shares used to calculate basic and diluted net loss per share attributable to ViaSat, Inc. common stockholders is the same for the three and six months ended September 30, 2017, as the Company incurred a net loss attributable to ViaSat, Inc. common stockholders for such periods and inclusion of potentially dilutive weighted average shares of common stock would be antidilutive. Potentially dilutive weighted average shares of common stock excluded from the calculation for the three and six months ended September 30, 2017 were 1,400,231 and 1,381,582 shares relating to stock options, respectively, 598,245 and 545,821 shares relating to restricted stock units, respectively, and 114,770 and 159,524 shares relating to certain terms of the ViaSat 401(k) Profit Sharing Plan and Employee Stock Purchase Plan, respectively.</w:t>
      </w:r>
    </w:p>
    <w:p>
      <w:pPr>
        <w:spacing w:after="0" w:line="12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Antidilutive shares relating to stock options excluded from the calculation comprised 413,750 and 398,771 shares for the three and six months ended September 30, 2016, respectively. Antidilutive shares relating to restricted stock units excluded from the calculation comprised zero shares for the three and six months ended September 30, 2016.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Acquired Intangible Assets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During the six months ended September 30, 2017, the Company’s goodwill increased by $0.7 million, which related to the effects of foreign currency translation recorded within all three of the Company’s segments.</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Other acquired intangible assets are amortized using the straight-line method over their estimated useful lives of two to ten years. Amortization expense related to other acquired intangible assets was $3.3 million and $2.3 million for the three months ended September 30, 2017 and 2016, respectively, and $6.6 million and $4.8 million for the six months ended September 30, 2017 and 2016, respectively.</w:t>
      </w:r>
    </w:p>
    <w:p>
      <w:pPr>
        <w:spacing w:after="0" w:line="14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expected amortization expense of amortizable acquired intangible assets may change due to the effects of foreign currency fluctuations as a result of international businesses acquired. Current and expected amortization expense for acquired intangible assets for each of the following periods is as follows:</w:t>
      </w:r>
    </w:p>
    <w:p>
      <w:pPr>
        <w:spacing w:after="0" w:line="12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Amortization</w:t>
            </w:r>
          </w:p>
        </w:tc>
      </w:tr>
      <w:tr>
        <w:trPr>
          <w:trHeight w:val="142"/>
        </w:trPr>
        <w:tc>
          <w:tcPr>
            <w:tcW w:w="35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0" w:type="dxa"/>
            <w:vAlign w:val="bottom"/>
          </w:tcPr>
          <w:p>
            <w:pPr>
              <w:spacing w:after="0"/>
              <w:rPr>
                <w:sz w:val="12"/>
                <w:szCs w:val="12"/>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w w:val="94"/>
              </w:rPr>
              <w:t>For the six months ended September 30, 2017</w:t>
            </w:r>
          </w:p>
        </w:tc>
        <w:tc>
          <w:tcPr>
            <w:tcW w:w="36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6,580</w:t>
            </w:r>
          </w:p>
        </w:tc>
        <w:tc>
          <w:tcPr>
            <w:tcW w:w="60" w:type="dxa"/>
            <w:vAlign w:val="bottom"/>
            <w:shd w:val="clear" w:color="auto" w:fill="CCEEFF"/>
          </w:tcPr>
          <w:p>
            <w:pPr>
              <w:spacing w:after="0"/>
              <w:rPr>
                <w:sz w:val="18"/>
                <w:szCs w:val="18"/>
                <w:color w:val="auto"/>
              </w:rPr>
            </w:pPr>
          </w:p>
        </w:tc>
      </w:tr>
      <w:tr>
        <w:trPr>
          <w:trHeight w:val="322"/>
        </w:trPr>
        <w:tc>
          <w:tcPr>
            <w:tcW w:w="3520" w:type="dxa"/>
            <w:vAlign w:val="bottom"/>
          </w:tcPr>
          <w:p>
            <w:pPr>
              <w:spacing w:after="0"/>
              <w:rPr>
                <w:sz w:val="20"/>
                <w:szCs w:val="20"/>
                <w:color w:val="auto"/>
              </w:rPr>
            </w:pPr>
            <w:r>
              <w:rPr>
                <w:rFonts w:ascii="Arial" w:cs="Arial" w:eastAsia="Arial" w:hAnsi="Arial"/>
                <w:sz w:val="18"/>
                <w:szCs w:val="18"/>
                <w:color w:val="auto"/>
                <w:w w:val="95"/>
              </w:rPr>
              <w:t>Expected for the remainder of fiscal year 2018</w:t>
            </w:r>
          </w:p>
        </w:tc>
        <w:tc>
          <w:tcPr>
            <w:tcW w:w="36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5,518</w:t>
            </w:r>
          </w:p>
        </w:tc>
        <w:tc>
          <w:tcPr>
            <w:tcW w:w="60" w:type="dxa"/>
            <w:vAlign w:val="bottom"/>
          </w:tcPr>
          <w:p>
            <w:pPr>
              <w:spacing w:after="0"/>
              <w:rPr>
                <w:sz w:val="24"/>
                <w:szCs w:val="24"/>
                <w:color w:val="auto"/>
              </w:rPr>
            </w:pPr>
          </w:p>
        </w:tc>
      </w:tr>
      <w:tr>
        <w:trPr>
          <w:trHeight w:val="218"/>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2019</w:t>
            </w:r>
          </w:p>
        </w:tc>
        <w:tc>
          <w:tcPr>
            <w:tcW w:w="3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6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Expected for fiscal year 2020</w:t>
            </w:r>
          </w:p>
        </w:tc>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7,593</w:t>
            </w:r>
          </w:p>
        </w:tc>
        <w:tc>
          <w:tcPr>
            <w:tcW w:w="6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2021</w:t>
            </w:r>
          </w:p>
        </w:tc>
        <w:tc>
          <w:tcPr>
            <w:tcW w:w="3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w:t>
            </w:r>
          </w:p>
        </w:tc>
        <w:tc>
          <w:tcPr>
            <w:tcW w:w="60" w:type="dxa"/>
            <w:vAlign w:val="bottom"/>
            <w:shd w:val="clear" w:color="auto" w:fill="CCEEFF"/>
          </w:tcPr>
          <w:p>
            <w:pPr>
              <w:spacing w:after="0"/>
              <w:rPr>
                <w:sz w:val="18"/>
                <w:szCs w:val="18"/>
                <w:color w:val="auto"/>
              </w:rPr>
            </w:pPr>
          </w:p>
        </w:tc>
      </w:t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Expected for fiscal year 2022</w:t>
            </w:r>
          </w:p>
        </w:tc>
        <w:tc>
          <w:tcPr>
            <w:tcW w:w="3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3,362</w:t>
            </w:r>
          </w:p>
        </w:tc>
        <w:tc>
          <w:tcPr>
            <w:tcW w:w="60" w:type="dxa"/>
            <w:vAlign w:val="bottom"/>
          </w:tcPr>
          <w:p>
            <w:pPr>
              <w:spacing w:after="0"/>
              <w:rPr>
                <w:sz w:val="19"/>
                <w:szCs w:val="19"/>
                <w:color w:val="auto"/>
              </w:rPr>
            </w:pPr>
          </w:p>
        </w:tc>
      </w:tr>
      <w:tr>
        <w:trPr>
          <w:trHeight w:val="356"/>
        </w:trPr>
        <w:tc>
          <w:tcPr>
            <w:tcW w:w="3520" w:type="dxa"/>
            <w:vAlign w:val="bottom"/>
          </w:tcPr>
          <w:p>
            <w:pPr>
              <w:spacing w:after="0"/>
              <w:rPr>
                <w:sz w:val="24"/>
                <w:szCs w:val="24"/>
                <w:color w:val="auto"/>
              </w:rPr>
            </w:pPr>
          </w:p>
        </w:tc>
        <w:tc>
          <w:tcPr>
            <w:tcW w:w="3340" w:type="dxa"/>
            <w:vAlign w:val="bottom"/>
          </w:tcPr>
          <w:p>
            <w:pPr>
              <w:jc w:val="right"/>
              <w:ind w:right="2812"/>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p>
      <w:pPr>
        <w:ind w:left="8740"/>
        <w:spacing w:after="0"/>
        <w:rPr>
          <w:sz w:val="20"/>
          <w:szCs w:val="20"/>
          <w:color w:val="auto"/>
        </w:rPr>
      </w:pPr>
      <w:r>
        <w:rPr>
          <w:rFonts w:ascii="Arial" w:cs="Arial" w:eastAsia="Arial" w:hAnsi="Arial"/>
          <w:sz w:val="14"/>
          <w:szCs w:val="14"/>
          <w:b w:val="1"/>
          <w:bCs w:val="1"/>
          <w:u w:val="single" w:color="auto"/>
          <w:color w:val="auto"/>
        </w:rPr>
        <w:t>Amortization</w:t>
      </w:r>
    </w:p>
    <w:p>
      <w:pPr>
        <w:spacing w:after="0" w:line="1"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tbl>
      <w:tblPr>
        <w:tblLayout w:type="fixed"/>
        <w:tblInd w:w="1840" w:type="dxa"/>
        <w:tblCellMar>
          <w:top w:w="0" w:type="dxa"/>
          <w:left w:w="0" w:type="dxa"/>
          <w:bottom w:w="0" w:type="dxa"/>
          <w:right w:w="0" w:type="dxa"/>
        </w:tblCellMar>
      </w:tblPr>
      <w:tr>
        <w:trPr>
          <w:trHeight w:val="207"/>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60" w:type="dxa"/>
            <w:vAlign w:val="bottom"/>
            <w:shd w:val="clear" w:color="auto" w:fill="CCEEFF"/>
          </w:tcPr>
          <w:p>
            <w:pPr>
              <w:spacing w:after="0"/>
              <w:rPr>
                <w:sz w:val="17"/>
                <w:szCs w:val="17"/>
                <w:color w:val="auto"/>
              </w:rPr>
            </w:pPr>
          </w:p>
        </w:tc>
      </w:tr>
      <w:tr>
        <w:trPr>
          <w:trHeight w:val="222"/>
        </w:trPr>
        <w:tc>
          <w:tcPr>
            <w:tcW w:w="7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36,796</w:t>
            </w:r>
          </w:p>
        </w:tc>
        <w:tc>
          <w:tcPr>
            <w:tcW w:w="6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Senior Notes and Other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long-term debt consisted of the following as of September 30, 2017 and March 31, 2017:</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rPr>
              <w:t>As of</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 of</w:t>
            </w:r>
          </w:p>
        </w:tc>
      </w:t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460" w:type="dxa"/>
            <w:vAlign w:val="bottom"/>
            <w:gridSpan w:val="4"/>
          </w:tcPr>
          <w:p>
            <w:pPr>
              <w:ind w:left="540"/>
              <w:spacing w:after="0"/>
              <w:rPr>
                <w:sz w:val="20"/>
                <w:szCs w:val="20"/>
                <w:color w:val="auto"/>
              </w:rPr>
            </w:pPr>
            <w:r>
              <w:rPr>
                <w:rFonts w:ascii="Arial" w:cs="Arial" w:eastAsia="Arial" w:hAnsi="Arial"/>
                <w:sz w:val="14"/>
                <w:szCs w:val="14"/>
                <w:b w:val="1"/>
                <w:bCs w:val="1"/>
                <w:color w:val="auto"/>
              </w:rPr>
              <w:t>September 30, 2017</w:t>
            </w:r>
          </w:p>
        </w:tc>
        <w:tc>
          <w:tcPr>
            <w:tcW w:w="1080" w:type="dxa"/>
            <w:vAlign w:val="bottom"/>
            <w:gridSpan w:val="4"/>
          </w:tcPr>
          <w:p>
            <w:pPr>
              <w:ind w:left="60"/>
              <w:spacing w:after="0"/>
              <w:rPr>
                <w:sz w:val="20"/>
                <w:szCs w:val="20"/>
                <w:color w:val="auto"/>
              </w:rPr>
            </w:pPr>
            <w:r>
              <w:rPr>
                <w:rFonts w:ascii="Arial" w:cs="Arial" w:eastAsia="Arial" w:hAnsi="Arial"/>
                <w:sz w:val="14"/>
                <w:szCs w:val="14"/>
                <w:b w:val="1"/>
                <w:bCs w:val="1"/>
                <w:color w:val="auto"/>
              </w:rPr>
              <w:t>March 31, 2017</w:t>
            </w: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2025 Notes</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7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2020 Notes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575,000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Ex-Im Credit Facility (1)</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362,401</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304,134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8"/>
                <w:szCs w:val="18"/>
                <w:color w:val="auto"/>
              </w:rPr>
            </w:pPr>
          </w:p>
        </w:tc>
      </w:tr>
      <w:tr>
        <w:trPr>
          <w:trHeight w:val="221"/>
        </w:trPr>
        <w:tc>
          <w:tcPr>
            <w:tcW w:w="514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1,062,696</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879,422</w:t>
            </w:r>
          </w:p>
        </w:tc>
        <w:tc>
          <w:tcPr>
            <w:tcW w:w="1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w w:val="97"/>
              </w:rPr>
              <w:t>Unamortized premium/(discount and debt issuance costs), net (1)</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(43,279)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(30,651)</w:t>
            </w: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5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22,945</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996,472</w:t>
            </w:r>
          </w:p>
        </w:tc>
        <w:tc>
          <w:tcPr>
            <w:tcW w:w="7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848,483</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of March 31, 2017, included in Ex-Im Credit Facility and in unamortized discount and debt issuance costs on the Ex-Im Credit Facility was</w:t>
      </w:r>
    </w:p>
    <w:p>
      <w:pPr>
        <w:spacing w:after="0" w:line="38" w:lineRule="exact"/>
        <w:rPr>
          <w:rFonts w:ascii="Arial" w:cs="Arial" w:eastAsia="Arial" w:hAnsi="Arial"/>
          <w:sz w:val="16"/>
          <w:szCs w:val="16"/>
          <w:color w:val="auto"/>
        </w:rPr>
      </w:pPr>
    </w:p>
    <w:p>
      <w:pPr>
        <w:ind w:left="460" w:right="420"/>
        <w:spacing w:after="0" w:line="261" w:lineRule="auto"/>
        <w:rPr>
          <w:rFonts w:ascii="Arial" w:cs="Arial" w:eastAsia="Arial" w:hAnsi="Arial"/>
          <w:sz w:val="16"/>
          <w:szCs w:val="16"/>
          <w:color w:val="auto"/>
        </w:rPr>
      </w:pPr>
      <w:r>
        <w:rPr>
          <w:rFonts w:ascii="Arial" w:cs="Arial" w:eastAsia="Arial" w:hAnsi="Arial"/>
          <w:sz w:val="18"/>
          <w:szCs w:val="18"/>
          <w:color w:val="auto"/>
        </w:rPr>
        <w:t>$29.5 million and $23.0 million, respectively, relating to the exposure fees accrued as of such date and subsequently financed under the Ex-Im Credit Facility.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 of September 30, 2017, the Revolving Credit Facility provided an $800.0 million revolving line of credit (including up to $150.0 million of letters of credit) with a maturity date of May 24, 2021.</w:t>
      </w:r>
    </w:p>
    <w:p>
      <w:pPr>
        <w:spacing w:after="0" w:line="132"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Borrowings under the Revolving Credit Facility bear interest, at the Company’s option, at either (1) the highest of the Federal Funds rate plus 0.50%, the Eurodollar rate plus 1.00%, or the administrative agent’s prime rate as announced from time to time, or (2) the Eurodollar rate, plus, in the case of each of (1) and</w:t>
      </w:r>
    </w:p>
    <w:p>
      <w:pPr>
        <w:jc w:val="both"/>
        <w:ind w:right="20"/>
        <w:spacing w:after="0" w:line="295" w:lineRule="auto"/>
        <w:rPr>
          <w:sz w:val="20"/>
          <w:szCs w:val="20"/>
          <w:color w:val="auto"/>
        </w:rPr>
      </w:pPr>
      <w:r>
        <w:rPr>
          <w:rFonts w:ascii="Arial" w:cs="Arial" w:eastAsia="Arial" w:hAnsi="Arial"/>
          <w:sz w:val="16"/>
          <w:szCs w:val="16"/>
          <w:color w:val="auto"/>
        </w:rPr>
        <w:t>(2), an applicable margin that is based on the Company’s total leverage ratio. The Company has capitalized certain amounts of interest expense on the Revolving Credit Facility in connection with the construction of various assets during the construction period. The Revolving Credit Facility is required to be guaranteed by certain significant domestic subsidiaries of the Company (as defined in the Revolving Credit Facility) and secured by substantially all of the Company’s and any such subsidiaries’ assets. As of September 30, 2017, none of the Company’s subsidiaries guaranteed the Revolving Credit Facility.</w:t>
      </w:r>
    </w:p>
    <w:p>
      <w:pPr>
        <w:spacing w:after="0" w:line="115"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the Company’s ability to sell assets, make investments and acquisitions, make capital expenditures, grant liens, pay dividends and make certain other restricted payments.</w:t>
      </w:r>
    </w:p>
    <w:p>
      <w:pPr>
        <w:spacing w:after="0" w:line="14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Company was in compliance with its financial covenants under the Revolving Credit Facility as of September 30, 2017. At September 30, 2017, the Company had no outstanding borrowings under the Revolving Credit Facility and $30.1 million outstanding under standby letters of credit, leaving borrowing availability under the Revolving Credit Facility as of September 30, 2017 of $769.9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 of September 30, 2017, the Ex-Im Credit Facility provided a $362.4 million senior secured direct loan facility, which was fully drawn. Of the $362.4 million in principal amount of borrowings made under the Ex-Im Credit Facility, $321.2 million was used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to finance up to 85% of the costs of construction, launch and insurance of the ViaSat-2 satellite and related goods and services (including costs incurred on or after September 18, 2012), with the remaining $41.2 million used to finance the total exposure fees incurred under the Ex-Im Credit Facility (which includes all previously accrued completion exposure fees).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Borrowings under the Ex-Im Credit Facility bear interest at a fixed rate of 2.38% and are required to be repaid in 16 approximately equal semi-annual installments, commencing approximately six months after the in-orbit acceptance date of the ViaSat-2 satellite (or, if earlier, on April 15, 2018), with a maturity date of October 15, 2025. Exposure fees under the Ex-Im Credit Facility are amortized using the effective interest rate method. The effective interest rate on the Company’s outstanding borrowings under the Ex-Im Credit Facility, which takes into account timing and amount of borrowings, exposure fees, debt issuance costs and other fees, was approximately 4.6%. The Ex-Im Credit Facility is guaranteed by ViaSat and is secured by first-priority liens on the ViaSat-2 satellite and related assets, as well as a pledge of the capital stock of the borrower under the facility.</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Ex-Im Credit Facility as of September 30, 2017.</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Borrowings under the Ex-Im Credit Facility were issued with a discount of $42.3 million (comprising the initial $6.0 million exposure fee, $35.3 million of completion exposure fees, and other customary fees). Borrowings under the Ex-Im Credit Facility are recorded as current portion of long-term debt and as other long-term debt, net of unamortized discount and debt issuance costs, in the Company’s condensed consolidated financial statements. The discount and deferred financing cost associated with the issuance of the borrowings under the Ex-Im Credit Facility is amortized to interest expense on an effective interest rate basis over the term of the borrowings under the Ex-Im Credit Facility.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Discharge of indenture and loss on extinguishment of debt</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connection with the Company’s issuance of the 2025 Notes on September 21, 2017, the Company repurchased and redeemed all of its $575.0 million in aggregate principal amount of 2020 Notes then outstanding through a cash tender offer and redemption, and the indenture governing the 2020 Notes was satisfied and discharged in accordance with its terms. On September 21, 2017, the Company repurchased $298.2 million in aggregate principal amount of the 2020 Notes pursuant to the tender offer. The total cash payment to repurchase the tendered 2020 Notes in the tender offer, including accrued and unpaid interest to, but excluding, the repurchase date, was $309.3 million. Also on September 21, 2017, in connection with the redemption of the remaining $276.8 million in aggregate principal amount of 2020 Notes, the Company irrevocably deposited $287.4 million with Wilmington Trust, as trustee, as trust funds solely for the benefit of the holders of such 2020 Notes. The redemption price for the 2020 Notes was 101.719% of the principal amount so redeemed, plus accrued and unpaid interest to, but excluding, the redemption date of October 5, 2017.</w:t>
      </w:r>
    </w:p>
    <w:p>
      <w:pPr>
        <w:spacing w:after="0" w:line="118"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In connection with the satisfaction and discharge of the indenture governing the 2020 Notes, all of the obligations of the Company (other than certain customary provisions of the indenture that expressly survive pursuant to the terms of the indenture) were discharged on September 21, 2017.</w:t>
      </w:r>
    </w:p>
    <w:p>
      <w:pPr>
        <w:spacing w:after="0" w:line="8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As a result of the repurchase of the 2020 Notes in the tender offer and the redemption of the remaining 2020 Notes, the Company recognized a $10.2 million loss on extinguishment of debt during the three and six months ended September 30, 2017, which was comprised of $10.6 million in cash payments (including tender offer consideration, redemption premium and related professional fees), net of $0.4 million in non-cash gain (including unamortized premium, net of unamortized debt issuance costs).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September 21, 2017, the Company issued $700.0 million in principal amount of 2025 Notes in a private placement to institutional buyers. The 2025</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Notes were issued at face value and are recorded as long-term debt, net of debt issuance costs, in the Company’s condensed consolidated financial statements.</w:t>
      </w:r>
    </w:p>
    <w:p>
      <w:pPr>
        <w:spacing w:after="0" w:line="3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2025 Notes bear interest at the rate of 5.625% per year, payable semi-annually in cash in arrears, which interest payments will commence in March 2018. Debt issuance costs associated with the issuance of the 2025 Notes are amortized to interest expense on a straight-line basis over the term of the 2025 Notes, the results of which are not materially different from the effective interest rate basis.</w:t>
      </w:r>
    </w:p>
    <w:p>
      <w:pPr>
        <w:spacing w:after="0" w:line="14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2025 Notes are required to be guaranteed on an unsecured senior basis by each of the Company’s existing and future subsidiaries that guarantees the Revolving Credit Facility. As of September 30, 2017, none of the Company’s subsidiaries guaranteed the 2025 Notes. The 2025 Notes are the Company’s general senior unsecured obligations and rank equally in right of payment with all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of the Company’s existing and future unsecured unsubordinated debt. The 2025 Notes are effectively junior in right of payment to the Company’s existing and future secured debt, including under the Credit Facilities (to the extent of the value of the assets securing such debt), are structurally subordinated to all existing and future liabilities (including trade payables) of the Company’s subsidiaries that do not guarantee the 2025 Notes, and are senior in right of payment to all of their existing and future subordinated indebtedness.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indenture governing the 2025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Prior to September 15, 2020, the Company may redeem up to 40% of the 2025 Notes at a redemption price of 105.625% of the principal amount thereof, plus accrued and unpaid interest, if any, thereon to the redemption date, from the net cash proceeds of specified equity offerings. The Company may also redeem the 2025 Notes prior to September 15, 2020,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2025 Notes and (ii) the excess, if any, of (a) the present value at such date of redemption of (1) the redemption price of such 2025 Notes on September 15, 2020 plus (2) all required interest payments due on such 2025 Notes through September 15, 2020 (excluding accrued but unpaid interest to the date of redemption), computed using a discount rate equal to the treasury rate (as defined under the indenture) plus 50 basis points, over (b) the then-outstanding principal amount of such 2025 Notes. The 2025 Notes may be redeemed, in whole or in part, at any time during the 12 months beginning on September 15, 2020 at a redemption price of 102.813%, during the 12 months beginning on September 15, 2021 at a redemption price of 101.406%, and at any time on or after September 15, 2022 at a redemption price of 100%, in each case plus accrued and unpaid interest, if any, thereon to the redemption date.</w:t>
      </w:r>
    </w:p>
    <w:p>
      <w:pPr>
        <w:spacing w:after="0" w:line="12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the event a change of control triggering event occurs (as defined in the indenture), each holder will have the right to require the Company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Product Warranty</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condensed consolidated financial statements. For 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six months ended September 30, 2017 and 2016:</w:t>
      </w:r>
    </w:p>
    <w:p>
      <w:pPr>
        <w:spacing w:after="0" w:line="15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September 30, 2017</w:t>
            </w:r>
          </w:p>
        </w:tc>
        <w:tc>
          <w:tcPr>
            <w:tcW w:w="1160" w:type="dxa"/>
            <w:vAlign w:val="bottom"/>
            <w:tcBorders>
              <w:bottom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w w:val="84"/>
              </w:rPr>
              <w:t>September 30, 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11,058</w:t>
            </w:r>
          </w:p>
        </w:tc>
        <w:tc>
          <w:tcPr>
            <w:tcW w:w="8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Change in liability for warranties issued in period</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218</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 made (in cash or in kind) during the period</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(2,617)</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(4,235)</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Balance, end of period</w:t>
            </w: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80" w:type="dxa"/>
            <w:vAlign w:val="bottom"/>
            <w:vMerge w:val="continue"/>
          </w:tcPr>
          <w:p>
            <w:pPr>
              <w:spacing w:after="0"/>
              <w:rPr>
                <w:sz w:val="19"/>
                <w:szCs w:val="19"/>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8,659</w:t>
            </w:r>
          </w:p>
        </w:tc>
        <w:tc>
          <w:tcPr>
            <w:tcW w:w="880" w:type="dxa"/>
            <w:vAlign w:val="bottom"/>
          </w:tcPr>
          <w:p>
            <w:pPr>
              <w:spacing w:after="0"/>
              <w:rPr>
                <w:sz w:val="19"/>
                <w:szCs w:val="19"/>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11,366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May 2013, the Company entered into an agreement to purchase the ViaSat-2 satellite from The Boeing Company (Boeing) at a price of approximately $358.0 million, plus an additional amount for launch support services to be performed by Boeing. In April 2017, the satellite construction agreement was amended to replace the remaining milestone payments for the satellite under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agreement with approximately $21.0 million of in-orbit satellite performance incentives payments, excluding interest, payable monthly over a nine-year period commencing one month after the completion of in-orbit testing, subject to the continued satisfactory performance of the satellite.</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September 30, 2017, the Company had two separate agreements with Boeing for the construction and purchase of two ViaSat-3 class satellites and the integration of ViaSat’s payload technologies into the satellites at an amended price of approximately $379.5 million in the aggregate (subject to purchase price adjustments based on factors such as launch delay and early delivery), plus an additional amount for launch support services to be performed by Boeing. In addition, under one of these agreements, the Company has the option to order up to two additional ViaSat-3 class satellites. The first ViaSat-3 class satellite is expected to provide broadband services over the Americas, and the second is expected to provide broadband services over Europe, the Middle East and Africa.</w:t>
      </w:r>
    </w:p>
    <w:p>
      <w:pPr>
        <w:spacing w:after="0" w:line="11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From time to time,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its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0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March 2016, the Company’s 52% majority-owned subsidiary TrellisWare was informed by the Civil Division of the U.S. Attorney’s Office for the Southern District of California that it was investigating TrellisWare’s eligibility for certain prior government contracts and whether TrellisWare’s conduct in connection therewith violated the False Claims Act. An estimated loss contingency is accrued when it is probable that an asset has been impaired or a liability has been incurred and the amount of loss can be reasonably estimated. The Company regularly evaluates current information available to determine whether such accruals should be adjusted and whether new accruals are required. During the fourth quarter of fiscal year 2017, based on further developments in that investigation and TrellisWare’s discussions with the U.S. Attorney’s Office, the Company accrued a total loss contingency of $11.8 million in SG&amp;A expenses in its government systems segment, which consisted of $11.4 million in uncharacterized damages and $0.4 million in penalties. The impact of the loss contingency on net income attributable to ViaSat, Inc. stockholders for fiscal year 2017, net of tax, was $4.0 million, with the related amount of $3.7 million recorded to net (loss) income attributable to noncontrolling interests, net of tax. As of September 30, 2017, the total loss contingency was recorded in accrued liabilities and other long term liabilities in the condensed consolidated balance sheet in the amounts of $8.8 million and $3.0 million, respectively. At this time, the Company cannot determine with certainty how or whether the TrellisWare investigation will conclude or whether this will be the final amount of damages and penalties.</w:t>
      </w:r>
    </w:p>
    <w:p>
      <w:pPr>
        <w:spacing w:after="0" w:line="127" w:lineRule="exact"/>
        <w:rPr>
          <w:sz w:val="20"/>
          <w:szCs w:val="20"/>
          <w:color w:val="auto"/>
        </w:rPr>
      </w:pPr>
    </w:p>
    <w:p>
      <w:pPr>
        <w:ind w:right="20" w:firstLine="456"/>
        <w:spacing w:after="0" w:line="305" w:lineRule="auto"/>
        <w:rPr>
          <w:sz w:val="20"/>
          <w:szCs w:val="20"/>
          <w:color w:val="auto"/>
        </w:rPr>
      </w:pPr>
      <w:r>
        <w:rPr>
          <w:rFonts w:ascii="Arial" w:cs="Arial" w:eastAsia="Arial" w:hAnsi="Arial"/>
          <w:sz w:val="15"/>
          <w:szCs w:val="15"/>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audits by the DCAA have not been concluded for fiscal years 2016 and 2017. As of September 30, 2017, the DCAA had completed its incurred cost audit for fiscal year 2004 and approved the Company’s incurred cost claims for fiscal years 2005 through 2015 without further audit. Although the Company has recorded contract revenues subsequent to fiscal year 2015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September 30, 2017 and March 31, 2017, the Company had $1.3 million and $1.8 million,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Company calculates its provision for income taxes at the end of each interim reporting period on the basis of an estimated annual effective tax rate adjusted for tax items that are discrete to each period.</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For the three and six months ended September 30, 2017, the Company recorded an income tax benefit of $11.5 million and $20.6 million, respectively, resulting in an effective tax benefit rate of 43.9% and 46.9%, respectively. For the three and six months ended September 30, 2016, the Company recorded an income tax provision of $3.6 million and $4.4 million, respectively, resulting in an effective tax rate of 25.1% and 25.5%, respectively. The effective tax rates for the periods differed from the U.S. statutory rate due primarily to the benefit of research and development tax credits. The effective tax rate for the six months ended September 30, 2016 also reflects an increase in valuation allowances on state net operating losses and state research and development tax credits.</w:t>
      </w:r>
    </w:p>
    <w:p>
      <w:pPr>
        <w:spacing w:after="0" w:line="11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When a reliable estimate of the annual effective tax rate cannot be made, the Company computes its provision for income taxes using the actual effective tax rate method for the year-to-date period. For the three and six months ended September 30, 2016, the Company used the actual effective tax rate method in calculating the income tax provision for the period as a reliable estimate of the annual effective tax rate could not be made.</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Future realization of existing deferred tax assets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which would cause a decrease to income in the period such determination is made.</w:t>
      </w:r>
    </w:p>
    <w:p>
      <w:pPr>
        <w:spacing w:after="0" w:line="143"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For the three and six months ended September 30, 2017, the Company’s gross unrecognized tax benefits increased by $1.2 million and $2.4 million, respectively. In the next 12 months it is reasonably possible that the amount of unrecognized tax benefits will not change significantly.</w:t>
      </w:r>
    </w:p>
    <w:p>
      <w:pPr>
        <w:spacing w:after="0" w:line="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accordance with the ASU 2016-09, which the Company adopted during the first quarter of fiscal year 2018, the Company recorded a cumulative effect adjustment as of the beginning of the first quarter of fiscal year 2018 to increase retained earnings by $58.7 million with a corresponding increase to deferred tax assets to recognize net operating loss carryforwards attributable to excess tax benefits on share-based compensation that had not been previously recognized. On a prospective basis, the Company recognizes excess tax benefits or deficiencies on vesting or settlement of awards as discrete items within income tax benefit or provision within net income (loss) and the related cash flows classified within operating activities.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Equity Method Investments and Related-Party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Eutelsat strategic partnering arrangement</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March 2017, the Company acquired a 49% interest in Euro Broadband Infrastructure Sàrl (Euro Infrastructure Co.) for $139.5 million as part of the consummation of the Company’s strategic partnering arrangement with Eutelsat S.A. (together with its affiliates, Eutelsat). The Company’s investment in Euro Infrastructure Co. is accounted for under the equity method and the total investment, including basis difference allocated to tangible assets, identifiable intangible assets, deferred income taxes and goodwill, is classified as a single line item, as an investment in unconsolidated affiliate, on the Company’s condensed consolidated balance sheets. Because the underlying net assets in Euro Infrastructure Co. and the related excess carrying value of investment over the proportionate share of net assets are denominated in Euros, foreign currency translation gains or losses impact the recorded value of the Company’s investment. Therefore the Company recorded foreign currency translation gains, net of tax, of approximately $5.7 million and $7.7 million for the three and six months ended September 30, 2017, respectively, in accumulated other comprehensive income (loss). The Company records its proportionate share of the results of Euro Infrastructure Co., and any related basis difference amortization expense, within equity in income (losses) of unconsolidated affiliate, net, one quarter in arrears. Accordingly, the Company included its share of the results of Euro Infrastructure Co. for the three months ended June 30, 2017 in its condensed consolidated financial statements for the three months ended September 30, 2017, and its share of the results of Euro Infrastructure Co. from the date of the Company’s investment in Euro Infrastructure Co. on March 3, 2017 through June 30, 2017 in its condensed consolidated financial statements for the six months ended September 30, 2017. The Company’s investment in Euro Infrastructure Co. is presented at cost of investment plus its accumulated proportional share of income or loss, including amortization of the difference in the historical basis of the Company’s contribution, less any distributions it has received.</w:t>
      </w:r>
    </w:p>
    <w:p>
      <w:pPr>
        <w:spacing w:after="0" w:line="12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difference between the Company’s carrying value of its investment in Euro Infrastructure Co. and its proportionate share of the net assets of Euro Infrastructure Co. as of September 30, 2017 and March 31, 2017 is summarized as follows: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rPr>
              <w:t>As of</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5300" w:type="dxa"/>
            <w:vAlign w:val="bottom"/>
          </w:tcPr>
          <w:p>
            <w:pPr>
              <w:spacing w:after="0"/>
              <w:rPr>
                <w:sz w:val="14"/>
                <w:szCs w:val="14"/>
                <w:color w:val="auto"/>
              </w:rPr>
            </w:pPr>
          </w:p>
        </w:tc>
        <w:tc>
          <w:tcPr>
            <w:tcW w:w="2300" w:type="dxa"/>
            <w:vAlign w:val="bottom"/>
            <w:gridSpan w:val="4"/>
          </w:tcPr>
          <w:p>
            <w:pPr>
              <w:ind w:left="380"/>
              <w:spacing w:after="0"/>
              <w:rPr>
                <w:sz w:val="20"/>
                <w:szCs w:val="20"/>
                <w:color w:val="auto"/>
              </w:rPr>
            </w:pPr>
            <w:r>
              <w:rPr>
                <w:rFonts w:ascii="Arial" w:cs="Arial" w:eastAsia="Arial" w:hAnsi="Arial"/>
                <w:sz w:val="14"/>
                <w:szCs w:val="14"/>
                <w:b w:val="1"/>
                <w:bCs w:val="1"/>
                <w:color w:val="auto"/>
              </w:rPr>
              <w:t>September 30, 2017</w:t>
            </w:r>
          </w:p>
        </w:tc>
        <w:tc>
          <w:tcPr>
            <w:tcW w:w="1080" w:type="dxa"/>
            <w:vAlign w:val="bottom"/>
            <w:gridSpan w:val="4"/>
          </w:tcPr>
          <w:p>
            <w:pPr>
              <w:ind w:left="60"/>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of investment in Euro Infrastructure Co.</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153,973</w:t>
            </w:r>
          </w:p>
        </w:tc>
        <w:tc>
          <w:tcPr>
            <w:tcW w:w="7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Less: proportionate share of net assets of Euro Infrastructure Co.</w:t>
            </w:r>
          </w:p>
        </w:tc>
        <w:tc>
          <w:tcPr>
            <w:tcW w:w="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138,313</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Excess carrying value of investment over proportionate share of</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assets</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15,660</w:t>
            </w:r>
          </w:p>
        </w:tc>
        <w:tc>
          <w:tcPr>
            <w:tcW w:w="7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The excess carrying value has been primarily assigned to:</w:t>
            </w: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22,537</w:t>
            </w:r>
          </w:p>
        </w:tc>
        <w:tc>
          <w:tcPr>
            <w:tcW w:w="7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Identifiable intangible assets</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13,815</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Tangible assets</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(22,411)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(20,241)</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00" w:type="dxa"/>
            <w:vAlign w:val="bottom"/>
          </w:tcPr>
          <w:p>
            <w:pPr>
              <w:spacing w:after="0"/>
              <w:rPr>
                <w:sz w:val="19"/>
                <w:szCs w:val="19"/>
                <w:color w:val="auto"/>
              </w:rPr>
            </w:pP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15,660</w:t>
            </w:r>
          </w:p>
        </w:tc>
        <w:tc>
          <w:tcPr>
            <w:tcW w:w="780" w:type="dxa"/>
            <w:vAlign w:val="bottom"/>
          </w:tcPr>
          <w:p>
            <w:pPr>
              <w:spacing w:after="0"/>
              <w:rPr>
                <w:sz w:val="19"/>
                <w:szCs w:val="19"/>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14,501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identifiable intangible assets have useful lives of up to 11 years and a weighted average useful life of approximately ten years, and tangible assets have useful lives of up to 11 years and a weighted average useful life of approximately 11 years. The preliminary allocation is subject to revision as a more detailed analysis is completed and additional information on the assets and liabilities of Euro Infrastructure Co. as of the closing date becomes available. Any change in the net assets of Euro Infrastructure Co. will change the amount of the purchase price allocable to goodwill. Goodwill is not deductible for tax purposes.</w:t>
      </w:r>
    </w:p>
    <w:p>
      <w:pPr>
        <w:spacing w:after="0" w:line="98"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Company’s share of income on its investment in Euro Infrastructure Co. was $0.7 million and $0.2 million for the three and six months ended September 30, 2017, respectively, (consisting of the Company’s share of equity in Euro Infrastructure Co.’s income, including amortization of the difference in the historical basis of the Company’s contribution). The Company did not hold any investment in Euro Infrastructure Co. in the prior year period.</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Since acquiring its interest in Euro Infrastructure Co., the Company has recorded in retained earnings an insignificant amount of undistributed cumulative earnings in equity interests, net of tax, as of September 30, 2017.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Transactions with the equity method investee are considered related-party transactions. The following tables set forth the material related-party transactions entered into between Euro Infrastructure Co. and its subsidiaries, on the one hand, and the Company and its subsidiaries, on the other hand, in the ordinary course of business for the time periods presented:</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2"/>
          </w:tcPr>
          <w:p>
            <w:pPr>
              <w:jc w:val="right"/>
              <w:ind w:right="342"/>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9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740" w:type="dxa"/>
            <w:vAlign w:val="bottom"/>
            <w:tcBorders>
              <w:bottom w:val="single" w:sz="8" w:color="auto"/>
            </w:tcBorders>
            <w:gridSpan w:val="2"/>
          </w:tcPr>
          <w:p>
            <w:pPr>
              <w:jc w:val="right"/>
              <w:ind w:right="536"/>
              <w:spacing w:after="0" w:line="142" w:lineRule="exact"/>
              <w:rPr>
                <w:sz w:val="20"/>
                <w:szCs w:val="20"/>
                <w:color w:val="auto"/>
              </w:rPr>
            </w:pPr>
            <w:r>
              <w:rPr>
                <w:rFonts w:ascii="Arial" w:cs="Arial" w:eastAsia="Arial" w:hAnsi="Arial"/>
                <w:sz w:val="14"/>
                <w:szCs w:val="14"/>
                <w:b w:val="1"/>
                <w:bCs w:val="1"/>
                <w:color w:val="auto"/>
                <w:w w:val="84"/>
              </w:rPr>
              <w:t>September 30, 2017</w:t>
            </w:r>
          </w:p>
        </w:tc>
        <w:tc>
          <w:tcPr>
            <w:tcW w:w="13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September 30, 2016</w:t>
            </w: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5"/>
              </w:rPr>
              <w:t>September 30, 2017</w:t>
            </w:r>
          </w:p>
        </w:tc>
        <w:tc>
          <w:tcPr>
            <w:tcW w:w="2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September 30, 2016</w:t>
            </w:r>
          </w:p>
        </w:tc>
        <w:tc>
          <w:tcPr>
            <w:tcW w:w="6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3"/>
          </w:tcPr>
          <w:p>
            <w:pPr>
              <w:jc w:val="right"/>
              <w:ind w:right="412"/>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rPr>
              <w:t>2,177</w:t>
            </w:r>
          </w:p>
        </w:tc>
        <w:tc>
          <w:tcPr>
            <w:tcW w:w="860" w:type="dxa"/>
            <w:vAlign w:val="bottom"/>
            <w:shd w:val="clear" w:color="auto" w:fill="CCEEFF"/>
          </w:tcPr>
          <w:p>
            <w:pPr>
              <w:jc w:val="right"/>
              <w:ind w:right="462"/>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5,628</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Expense</w:t>
            </w:r>
          </w:p>
        </w:tc>
        <w:tc>
          <w:tcPr>
            <w:tcW w:w="420" w:type="dxa"/>
            <w:vAlign w:val="bottom"/>
          </w:tcPr>
          <w:p>
            <w:pPr>
              <w:spacing w:after="0"/>
              <w:rPr>
                <w:sz w:val="18"/>
                <w:szCs w:val="18"/>
                <w:color w:val="auto"/>
              </w:rPr>
            </w:pPr>
          </w:p>
        </w:tc>
        <w:tc>
          <w:tcPr>
            <w:tcW w:w="1320" w:type="dxa"/>
            <w:vAlign w:val="bottom"/>
          </w:tcPr>
          <w:p>
            <w:pPr>
              <w:jc w:val="right"/>
              <w:ind w:right="516"/>
              <w:spacing w:after="0"/>
              <w:rPr>
                <w:sz w:val="20"/>
                <w:szCs w:val="20"/>
                <w:color w:val="auto"/>
              </w:rPr>
            </w:pPr>
            <w:r>
              <w:rPr>
                <w:rFonts w:ascii="Arial" w:cs="Arial" w:eastAsia="Arial" w:hAnsi="Arial"/>
                <w:sz w:val="18"/>
                <w:szCs w:val="18"/>
                <w:color w:val="auto"/>
              </w:rPr>
              <w:t>1,757</w:t>
            </w:r>
          </w:p>
        </w:tc>
        <w:tc>
          <w:tcPr>
            <w:tcW w:w="8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3,588</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received</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rPr>
              <w:t>2,278</w:t>
            </w:r>
          </w:p>
        </w:tc>
        <w:tc>
          <w:tcPr>
            <w:tcW w:w="8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2"/>
        </w:trPr>
        <w:tc>
          <w:tcPr>
            <w:tcW w:w="3360" w:type="dxa"/>
            <w:vAlign w:val="bottom"/>
            <w:gridSpan w:val="2"/>
          </w:tcPr>
          <w:p>
            <w:pPr>
              <w:spacing w:after="0"/>
              <w:rPr>
                <w:sz w:val="20"/>
                <w:szCs w:val="20"/>
                <w:color w:val="auto"/>
              </w:rPr>
            </w:pPr>
            <w:r>
              <w:rPr>
                <w:rFonts w:ascii="Arial" w:cs="Arial" w:eastAsia="Arial" w:hAnsi="Arial"/>
                <w:sz w:val="18"/>
                <w:szCs w:val="18"/>
                <w:color w:val="auto"/>
              </w:rPr>
              <w:t>Cash paid</w:t>
            </w:r>
          </w:p>
        </w:tc>
        <w:tc>
          <w:tcPr>
            <w:tcW w:w="420" w:type="dxa"/>
            <w:vAlign w:val="bottom"/>
          </w:tcPr>
          <w:p>
            <w:pPr>
              <w:spacing w:after="0"/>
              <w:rPr>
                <w:sz w:val="19"/>
                <w:szCs w:val="19"/>
                <w:color w:val="auto"/>
              </w:rPr>
            </w:pPr>
          </w:p>
        </w:tc>
        <w:tc>
          <w:tcPr>
            <w:tcW w:w="1320" w:type="dxa"/>
            <w:vAlign w:val="bottom"/>
          </w:tcPr>
          <w:p>
            <w:pPr>
              <w:jc w:val="right"/>
              <w:ind w:right="516"/>
              <w:spacing w:after="0"/>
              <w:rPr>
                <w:sz w:val="20"/>
                <w:szCs w:val="20"/>
                <w:color w:val="auto"/>
              </w:rPr>
            </w:pPr>
            <w:r>
              <w:rPr>
                <w:rFonts w:ascii="Arial" w:cs="Arial" w:eastAsia="Arial" w:hAnsi="Arial"/>
                <w:sz w:val="18"/>
                <w:szCs w:val="18"/>
                <w:color w:val="auto"/>
              </w:rPr>
              <w:t>1,989</w:t>
            </w:r>
          </w:p>
        </w:tc>
        <w:tc>
          <w:tcPr>
            <w:tcW w:w="8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4,009</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332"/>
        </w:trPr>
        <w:tc>
          <w:tcPr>
            <w:tcW w:w="9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592"/>
              <w:spacing w:after="0"/>
              <w:rPr>
                <w:sz w:val="20"/>
                <w:szCs w:val="20"/>
                <w:color w:val="auto"/>
              </w:rPr>
            </w:pPr>
            <w:r>
              <w:rPr>
                <w:rFonts w:ascii="Arial" w:cs="Arial" w:eastAsia="Arial" w:hAnsi="Arial"/>
                <w:sz w:val="14"/>
                <w:szCs w:val="14"/>
                <w:b w:val="1"/>
                <w:bCs w:val="1"/>
                <w:color w:val="auto"/>
              </w:rPr>
              <w:t>As of</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As of</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1"/>
        </w:trPr>
        <w:tc>
          <w:tcPr>
            <w:tcW w:w="9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gridSpan w:val="5"/>
          </w:tcPr>
          <w:p>
            <w:pPr>
              <w:jc w:val="right"/>
              <w:ind w:right="192"/>
              <w:spacing w:after="0"/>
              <w:rPr>
                <w:sz w:val="20"/>
                <w:szCs w:val="20"/>
                <w:color w:val="auto"/>
              </w:rPr>
            </w:pPr>
            <w:r>
              <w:rPr>
                <w:rFonts w:ascii="Arial" w:cs="Arial" w:eastAsia="Arial" w:hAnsi="Arial"/>
                <w:sz w:val="14"/>
                <w:szCs w:val="14"/>
                <w:b w:val="1"/>
                <w:bCs w:val="1"/>
                <w:color w:val="auto"/>
              </w:rPr>
              <w:t>September 30, 2017</w:t>
            </w:r>
          </w:p>
        </w:tc>
        <w:tc>
          <w:tcPr>
            <w:tcW w:w="700" w:type="dxa"/>
            <w:vAlign w:val="bottom"/>
          </w:tcPr>
          <w:p>
            <w:pPr>
              <w:spacing w:after="0"/>
              <w:rPr>
                <w:sz w:val="14"/>
                <w:szCs w:val="14"/>
                <w:color w:val="auto"/>
              </w:rPr>
            </w:pPr>
          </w:p>
        </w:tc>
        <w:tc>
          <w:tcPr>
            <w:tcW w:w="110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 2017</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9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right"/>
              <w:ind w:right="56"/>
              <w:spacing w:after="0" w:line="142" w:lineRule="exact"/>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9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1,910</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4180" w:type="dxa"/>
            <w:vAlign w:val="bottom"/>
            <w:gridSpan w:val="3"/>
          </w:tcPr>
          <w:p>
            <w:pPr>
              <w:spacing w:after="0"/>
              <w:rPr>
                <w:sz w:val="20"/>
                <w:szCs w:val="20"/>
                <w:color w:val="auto"/>
              </w:rPr>
            </w:pPr>
            <w:r>
              <w:rPr>
                <w:rFonts w:ascii="Arial" w:cs="Arial" w:eastAsia="Arial" w:hAnsi="Arial"/>
                <w:sz w:val="18"/>
                <w:szCs w:val="18"/>
                <w:color w:val="auto"/>
                <w:w w:val="91"/>
              </w:rPr>
              <w:t>Collections in excess of revenues and deferred revenues</w:t>
            </w: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92"/>
              <w:spacing w:after="0"/>
              <w:rPr>
                <w:sz w:val="20"/>
                <w:szCs w:val="20"/>
                <w:color w:val="auto"/>
              </w:rPr>
            </w:pPr>
            <w:r>
              <w:rPr>
                <w:rFonts w:ascii="Arial" w:cs="Arial" w:eastAsia="Arial" w:hAnsi="Arial"/>
                <w:sz w:val="18"/>
                <w:szCs w:val="18"/>
                <w:color w:val="auto"/>
              </w:rPr>
              <w:t>2,971</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188" w:lineRule="exact"/>
        <w:rPr>
          <w:sz w:val="20"/>
          <w:szCs w:val="20"/>
          <w:color w:val="auto"/>
        </w:rPr>
      </w:pPr>
    </w:p>
    <w:p>
      <w:pPr>
        <w:ind w:right="4540" w:firstLine="8"/>
        <w:spacing w:after="0" w:line="268" w:lineRule="auto"/>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Euro Infrastructure Co. and its subsidiaries were not related parties in the prior year period. ** Amount was insignificant.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satellite-based broadband and related services to consumers, enterprises, commercial airlines and mobile broadband customers. The Company’s commercial networks segment develops and offers advanced satellite and wireless broadband platforms, ground networking equipment, radio frequency and advanced microwave solutions, ASIC chip design, satellite payload development and space-to-earth connectivity systems, some of which are ultimately used by the Company’s satellite services segment. The Company’s government systems segment provides global mobile broadband services to military and government users and develops and offers network-centric, internet protocol (IP)-based fixed and mobile secure communications products and solutions.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Segment revenues and operating profits (losses) for the three and six months ended September 30, 2017 and 2016 were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8"/>
              </w:rPr>
              <w:t>Three Months Ended</w:t>
            </w:r>
          </w:p>
        </w:tc>
        <w:tc>
          <w:tcPr>
            <w:tcW w:w="72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52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September 30, 2017</w:t>
            </w: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September 30, 2016</w:t>
            </w:r>
          </w:p>
        </w:tc>
        <w:tc>
          <w:tcPr>
            <w:tcW w:w="7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September 30, 2017</w:t>
            </w: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September 30, 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20" w:type="dxa"/>
            <w:vAlign w:val="bottom"/>
            <w:gridSpan w:val="3"/>
          </w:tcPr>
          <w:p>
            <w:pPr>
              <w:ind w:left="660"/>
              <w:spacing w:after="0" w:line="142" w:lineRule="exact"/>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420"/>
              <w:spacing w:after="0"/>
              <w:rPr>
                <w:sz w:val="20"/>
                <w:szCs w:val="20"/>
                <w:color w:val="auto"/>
              </w:rPr>
            </w:pPr>
            <w:r>
              <w:rPr>
                <w:rFonts w:ascii="Arial" w:cs="Arial" w:eastAsia="Arial" w:hAnsi="Arial"/>
                <w:sz w:val="18"/>
                <w:szCs w:val="18"/>
                <w:color w:val="auto"/>
              </w:rPr>
              <w:t>Satellite services</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Product (1)</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6,782</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ind w:left="860"/>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147,364</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149,502</w:t>
            </w:r>
          </w:p>
        </w:tc>
        <w:tc>
          <w:tcPr>
            <w:tcW w:w="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299,361</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147,578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156,284</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299,792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420"/>
              <w:spacing w:after="0"/>
              <w:rPr>
                <w:sz w:val="20"/>
                <w:szCs w:val="20"/>
                <w:color w:val="auto"/>
              </w:rPr>
            </w:pPr>
            <w:r>
              <w:rPr>
                <w:rFonts w:ascii="Arial" w:cs="Arial" w:eastAsia="Arial" w:hAnsi="Arial"/>
                <w:sz w:val="18"/>
                <w:szCs w:val="18"/>
                <w:color w:val="auto"/>
              </w:rPr>
              <w:t>Commercial networks</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Product</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47,347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58,445</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83,830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117,041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ind w:left="860"/>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8,922</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7,018</w:t>
            </w:r>
          </w:p>
        </w:tc>
        <w:tc>
          <w:tcPr>
            <w:tcW w:w="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17,687</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65,463</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101,517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420"/>
              <w:spacing w:after="0"/>
              <w:rPr>
                <w:sz w:val="20"/>
                <w:szCs w:val="20"/>
                <w:color w:val="auto"/>
              </w:rPr>
            </w:pPr>
            <w:r>
              <w:rPr>
                <w:rFonts w:ascii="Arial" w:cs="Arial" w:eastAsia="Arial" w:hAnsi="Arial"/>
                <w:sz w:val="18"/>
                <w:szCs w:val="18"/>
                <w:color w:val="auto"/>
              </w:rPr>
              <w:t>Government systems</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Product</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134,222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122,008</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263,640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217,403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ind w:left="860"/>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55,005</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55,403</w:t>
            </w:r>
          </w:p>
        </w:tc>
        <w:tc>
          <w:tcPr>
            <w:tcW w:w="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108,169</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189,227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177,411</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371,809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322,595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ind w:left="420"/>
              <w:spacing w:after="0"/>
              <w:rPr>
                <w:sz w:val="20"/>
                <w:szCs w:val="20"/>
                <w:color w:val="auto"/>
              </w:rPr>
            </w:pPr>
            <w:r>
              <w:rPr>
                <w:rFonts w:ascii="Arial" w:cs="Arial" w:eastAsia="Arial" w:hAnsi="Arial"/>
                <w:sz w:val="18"/>
                <w:szCs w:val="18"/>
                <w:color w:val="auto"/>
              </w:rPr>
              <w:t>Elimination of intersegment revenues</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393,074</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399,158</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773,118</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762,288</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Operating profits (losses):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Satellite services (1)</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12,616</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32,550</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31,459</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420"/>
              <w:spacing w:after="0"/>
              <w:rPr>
                <w:sz w:val="20"/>
                <w:szCs w:val="20"/>
                <w:color w:val="auto"/>
              </w:rPr>
            </w:pPr>
            <w:r>
              <w:rPr>
                <w:rFonts w:ascii="Arial" w:cs="Arial" w:eastAsia="Arial" w:hAnsi="Arial"/>
                <w:sz w:val="18"/>
                <w:szCs w:val="18"/>
                <w:color w:val="auto"/>
              </w:rPr>
              <w:t>Commercial networks</w:t>
            </w:r>
          </w:p>
        </w:tc>
        <w:tc>
          <w:tcPr>
            <w:tcW w:w="34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(59,377)</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(40,868)</w:t>
            </w:r>
          </w:p>
        </w:tc>
        <w:tc>
          <w:tcPr>
            <w:tcW w:w="3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(125,502)</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(79,399)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Government systems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29,009</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66,813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20" w:type="dxa"/>
            <w:vAlign w:val="bottom"/>
          </w:tcPr>
          <w:p>
            <w:pPr>
              <w:ind w:left="420"/>
              <w:spacing w:after="0"/>
              <w:rPr>
                <w:sz w:val="20"/>
                <w:szCs w:val="20"/>
                <w:color w:val="auto"/>
              </w:rPr>
            </w:pPr>
            <w:r>
              <w:rPr>
                <w:rFonts w:ascii="Arial" w:cs="Arial" w:eastAsia="Arial" w:hAnsi="Arial"/>
                <w:sz w:val="18"/>
                <w:szCs w:val="18"/>
                <w:color w:val="auto"/>
              </w:rPr>
              <w:t>Elimination of intersegment operating</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720" w:type="dxa"/>
            <w:vAlign w:val="bottom"/>
          </w:tcPr>
          <w:p>
            <w:pPr>
              <w:ind w:left="640"/>
              <w:spacing w:after="0"/>
              <w:rPr>
                <w:sz w:val="20"/>
                <w:szCs w:val="20"/>
                <w:color w:val="auto"/>
              </w:rPr>
            </w:pPr>
            <w:r>
              <w:rPr>
                <w:rFonts w:ascii="Arial" w:cs="Arial" w:eastAsia="Arial" w:hAnsi="Arial"/>
                <w:sz w:val="18"/>
                <w:szCs w:val="18"/>
                <w:color w:val="auto"/>
              </w:rPr>
              <w:t>profits</w:t>
            </w:r>
          </w:p>
        </w:tc>
        <w:tc>
          <w:tcPr>
            <w:tcW w:w="340" w:type="dxa"/>
            <w:vAlign w:val="bottom"/>
          </w:tcPr>
          <w:p>
            <w:pPr>
              <w:spacing w:after="0"/>
              <w:rPr>
                <w:sz w:val="20"/>
                <w:szCs w:val="20"/>
                <w:color w:val="auto"/>
              </w:rPr>
            </w:pPr>
          </w:p>
        </w:tc>
        <w:tc>
          <w:tcPr>
            <w:tcW w:w="11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(loss) profit before</w:t>
            </w: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and amortization of acquired</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(12,540)</w:t>
            </w: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20,691</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(27,230)</w:t>
            </w: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420"/>
              <w:spacing w:after="0"/>
              <w:rPr>
                <w:sz w:val="20"/>
                <w:szCs w:val="20"/>
                <w:color w:val="auto"/>
              </w:rPr>
            </w:pPr>
            <w:r>
              <w:rPr>
                <w:rFonts w:ascii="Arial" w:cs="Arial" w:eastAsia="Arial" w:hAnsi="Arial"/>
                <w:sz w:val="18"/>
                <w:szCs w:val="18"/>
                <w:color w:val="auto"/>
              </w:rPr>
              <w:t>Corporate</w:t>
            </w:r>
          </w:p>
        </w:tc>
        <w:tc>
          <w:tcPr>
            <w:tcW w:w="340" w:type="dxa"/>
            <w:vAlign w:val="bottom"/>
          </w:tcPr>
          <w:p>
            <w:pPr>
              <w:spacing w:after="0"/>
              <w:rPr>
                <w:sz w:val="18"/>
                <w:szCs w:val="18"/>
                <w:color w:val="auto"/>
              </w:rPr>
            </w:pPr>
          </w:p>
        </w:tc>
        <w:tc>
          <w:tcPr>
            <w:tcW w:w="11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acquired intangible</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assets</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(3,320)</w:t>
            </w: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(2,277)</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(6,580)</w:t>
            </w: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(4,790)</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(Loss) income from operations</w:t>
            </w: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40" w:type="dxa"/>
            <w:vAlign w:val="bottom"/>
            <w:gridSpan w:val="2"/>
            <w:vMerge w:val="continue"/>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(15,860)</w:t>
            </w: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18,414</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(33,810)</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80" w:hanging="452"/>
        <w:spacing w:after="0" w:line="255"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revenues and operating profits in the satellite services segment for the three and six months ended September 30, 2016 included $6.6 million and $13.2 million, respectively, relating to amounts realized under the Company’s settlement agreement entered into in fiscal year 2015 with Space Systems/Loral, Inc. and its former parent company Loral Space &amp; Communications, Inc. As of March 31, 2017, all payments pursuant to this settlement agreement had been recorded and no further impacts to the Company’s consolidated financial statements are anticipated related to this settlement agreement.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Assets identifiable to segments include: accounts receivable, unbilled accounts receivable, inventory, acquired intangible assets and goodwill. The Company’s property and equipment, including its satellites, earth stations and other networking equipment, are assigned to corporate assets as they are available for use by the various segments throughout their estimated useful lives. Segment assets as of September 30, 2017 and March 31, 2017 were as follows:</w:t>
      </w:r>
    </w:p>
    <w:p>
      <w:pPr>
        <w:spacing w:after="0" w:line="11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99"/>
              <w:spacing w:after="0"/>
              <w:rPr>
                <w:sz w:val="20"/>
                <w:szCs w:val="20"/>
                <w:color w:val="auto"/>
              </w:rPr>
            </w:pPr>
            <w:r>
              <w:rPr>
                <w:rFonts w:ascii="Arial" w:cs="Arial" w:eastAsia="Arial" w:hAnsi="Arial"/>
                <w:sz w:val="14"/>
                <w:szCs w:val="14"/>
                <w:b w:val="1"/>
                <w:bCs w:val="1"/>
                <w:color w:val="auto"/>
              </w:rPr>
              <w:t>As of</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100" w:type="dxa"/>
            <w:vAlign w:val="bottom"/>
            <w:gridSpan w:val="3"/>
          </w:tcPr>
          <w:p>
            <w:pPr>
              <w:ind w:left="226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March 31,</w:t>
            </w: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4"/>
          </w:tcPr>
          <w:p>
            <w:pPr>
              <w:jc w:val="right"/>
              <w:ind w:right="559"/>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Satellite services</w:t>
            </w:r>
          </w:p>
        </w:tc>
        <w:tc>
          <w:tcPr>
            <w:tcW w:w="2380" w:type="dxa"/>
            <w:vAlign w:val="bottom"/>
            <w:gridSpan w:val="2"/>
          </w:tcPr>
          <w:p>
            <w:pPr>
              <w:ind w:left="226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74,234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81,728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networks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192,563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179,992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Government systems</w:t>
            </w:r>
          </w:p>
        </w:tc>
        <w:tc>
          <w:tcPr>
            <w:tcW w:w="2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322,467</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326,242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segment assets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589,264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587,962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Corporate assets</w:t>
            </w:r>
          </w:p>
        </w:tc>
        <w:tc>
          <w:tcPr>
            <w:tcW w:w="2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2,698,957</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2,366,691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38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3,288,221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2,954,653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acquired intangible assets, net and goodwill included in segment assets as of September 30, 2017 and March 31, 2017 were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gridSpan w:val="4"/>
          </w:tcPr>
          <w:p>
            <w:pPr>
              <w:jc w:val="center"/>
              <w:ind w:left="281"/>
              <w:spacing w:after="0"/>
              <w:rPr>
                <w:sz w:val="20"/>
                <w:szCs w:val="20"/>
                <w:color w:val="auto"/>
              </w:rPr>
            </w:pPr>
            <w:r>
              <w:rPr>
                <w:rFonts w:ascii="Arial" w:cs="Arial" w:eastAsia="Arial" w:hAnsi="Arial"/>
                <w:sz w:val="14"/>
                <w:szCs w:val="14"/>
                <w:b w:val="1"/>
                <w:bCs w:val="1"/>
                <w:color w:val="auto"/>
                <w:w w:val="89"/>
              </w:rPr>
              <w:t>Other Acquired Intangible</w:t>
            </w: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ind w:left="641"/>
              <w:spacing w:after="0"/>
              <w:rPr>
                <w:sz w:val="20"/>
                <w:szCs w:val="20"/>
                <w:color w:val="auto"/>
              </w:rPr>
            </w:pPr>
            <w:r>
              <w:rPr>
                <w:rFonts w:ascii="Arial" w:cs="Arial" w:eastAsia="Arial" w:hAnsi="Arial"/>
                <w:sz w:val="14"/>
                <w:szCs w:val="14"/>
                <w:b w:val="1"/>
                <w:bCs w:val="1"/>
                <w:color w:val="auto"/>
                <w:w w:val="81"/>
              </w:rPr>
              <w:t>Assets, Net</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ind w:left="880"/>
              <w:spacing w:after="0"/>
              <w:rPr>
                <w:sz w:val="20"/>
                <w:szCs w:val="20"/>
                <w:color w:val="auto"/>
              </w:rPr>
            </w:pPr>
            <w:r>
              <w:rPr>
                <w:rFonts w:ascii="Arial" w:cs="Arial" w:eastAsia="Arial" w:hAnsi="Arial"/>
                <w:sz w:val="14"/>
                <w:szCs w:val="14"/>
                <w:b w:val="1"/>
                <w:bCs w:val="1"/>
                <w:color w:val="auto"/>
              </w:rPr>
              <w:t>Goodwill</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4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jc w:val="right"/>
              <w:ind w:right="219"/>
              <w:spacing w:after="0" w:line="129" w:lineRule="exact"/>
              <w:rPr>
                <w:sz w:val="20"/>
                <w:szCs w:val="20"/>
                <w:color w:val="auto"/>
              </w:rPr>
            </w:pPr>
            <w:r>
              <w:rPr>
                <w:rFonts w:ascii="Arial" w:cs="Arial" w:eastAsia="Arial" w:hAnsi="Arial"/>
                <w:sz w:val="14"/>
                <w:szCs w:val="14"/>
                <w:b w:val="1"/>
                <w:bCs w:val="1"/>
                <w:color w:val="auto"/>
                <w:w w:val="85"/>
              </w:rPr>
              <w:t>As of</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As of</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4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2017</w:t>
            </w:r>
          </w:p>
        </w:tc>
        <w:tc>
          <w:tcPr>
            <w:tcW w:w="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8"/>
              </w:rPr>
              <w:t>March 31, 2017</w:t>
            </w:r>
          </w:p>
        </w:tc>
        <w:tc>
          <w:tcPr>
            <w:tcW w:w="740" w:type="dxa"/>
            <w:vAlign w:val="bottom"/>
          </w:tcPr>
          <w:p>
            <w:pPr>
              <w:spacing w:after="0"/>
              <w:rPr>
                <w:sz w:val="14"/>
                <w:szCs w:val="14"/>
                <w:color w:val="auto"/>
              </w:rPr>
            </w:pPr>
          </w:p>
        </w:tc>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September 30, 2017</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4"/>
              </w:rPr>
              <w:t>March 31, 2017</w:t>
            </w: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3"/>
          </w:tcPr>
          <w:p>
            <w:pPr>
              <w:ind w:left="580"/>
              <w:spacing w:after="0" w:line="142" w:lineRule="exact"/>
              <w:rPr>
                <w:sz w:val="20"/>
                <w:szCs w:val="20"/>
                <w:color w:val="auto"/>
              </w:rPr>
            </w:pPr>
            <w:r>
              <w:rPr>
                <w:rFonts w:ascii="Arial" w:cs="Arial" w:eastAsia="Arial" w:hAnsi="Arial"/>
                <w:sz w:val="14"/>
                <w:szCs w:val="14"/>
                <w:b w:val="1"/>
                <w:bCs w:val="1"/>
                <w:color w:val="auto"/>
              </w:rPr>
              <w:t>(In thousands)</w:t>
            </w:r>
          </w:p>
        </w:tc>
        <w:tc>
          <w:tcPr>
            <w:tcW w:w="8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19,238</w:t>
            </w:r>
          </w:p>
        </w:tc>
        <w:tc>
          <w:tcPr>
            <w:tcW w:w="6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21,843</w:t>
            </w:r>
          </w:p>
        </w:tc>
        <w:tc>
          <w:tcPr>
            <w:tcW w:w="10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13,814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13,579</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Commercial networks</w:t>
            </w:r>
          </w:p>
        </w:tc>
        <w:tc>
          <w:tcPr>
            <w:tcW w:w="26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4,111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4,903</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43,981</w:t>
            </w: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43,930</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13,447</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14,931</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62,797</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62,367</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4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36,796</w:t>
            </w:r>
          </w:p>
        </w:tc>
        <w:tc>
          <w:tcPr>
            <w:tcW w:w="660" w:type="dxa"/>
            <w:vAlign w:val="bottom"/>
          </w:tcPr>
          <w:p>
            <w:pPr>
              <w:spacing w:after="0"/>
              <w:rPr>
                <w:sz w:val="19"/>
                <w:szCs w:val="19"/>
                <w:color w:val="auto"/>
              </w:rPr>
            </w:pP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41,677</w:t>
            </w:r>
          </w:p>
        </w:tc>
        <w:tc>
          <w:tcPr>
            <w:tcW w:w="10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120,592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119,876</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of acquired intangible assets by segment for the three and six months ended September 30, 2017 and 2016 was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34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September 30, 2017</w:t>
            </w:r>
          </w:p>
        </w:tc>
        <w:tc>
          <w:tcPr>
            <w:tcW w:w="5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September 30, 2016</w:t>
            </w:r>
          </w:p>
        </w:tc>
        <w:tc>
          <w:tcPr>
            <w:tcW w:w="3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September 30, 2017</w:t>
            </w:r>
          </w:p>
        </w:tc>
        <w:tc>
          <w:tcPr>
            <w:tcW w:w="11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September 30, 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20" w:type="dxa"/>
            <w:vAlign w:val="bottom"/>
            <w:gridSpan w:val="4"/>
          </w:tcPr>
          <w:p>
            <w:pPr>
              <w:ind w:left="620"/>
              <w:spacing w:after="0" w:line="142"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2,173</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4,267</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Commercial networks</w:t>
            </w: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386</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411</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792</w:t>
            </w:r>
          </w:p>
        </w:tc>
        <w:tc>
          <w:tcPr>
            <w:tcW w:w="4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761</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1,521</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15"/>
        </w:trPr>
        <w:tc>
          <w:tcPr>
            <w:tcW w:w="3620" w:type="dxa"/>
            <w:vAlign w:val="bottom"/>
          </w:tcPr>
          <w:p>
            <w:pPr>
              <w:spacing w:after="0"/>
              <w:rPr>
                <w:sz w:val="20"/>
                <w:szCs w:val="20"/>
                <w:color w:val="auto"/>
              </w:rPr>
            </w:pPr>
            <w:r>
              <w:rPr>
                <w:rFonts w:ascii="Arial" w:cs="Arial" w:eastAsia="Arial" w:hAnsi="Arial"/>
                <w:sz w:val="18"/>
                <w:szCs w:val="18"/>
                <w:color w:val="auto"/>
              </w:rPr>
              <w:t>Total amortization of acquired intangible</w:t>
            </w: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20" w:type="dxa"/>
            <w:vAlign w:val="bottom"/>
          </w:tcPr>
          <w:p>
            <w:pPr>
              <w:ind w:left="220"/>
              <w:spacing w:after="0"/>
              <w:rPr>
                <w:sz w:val="20"/>
                <w:szCs w:val="20"/>
                <w:color w:val="auto"/>
              </w:rPr>
            </w:pPr>
            <w:r>
              <w:rPr>
                <w:rFonts w:ascii="Arial" w:cs="Arial" w:eastAsia="Arial" w:hAnsi="Arial"/>
                <w:sz w:val="18"/>
                <w:szCs w:val="18"/>
                <w:color w:val="auto"/>
              </w:rPr>
              <w:t>assets</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3,320</w:t>
            </w: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2,277</w:t>
            </w:r>
          </w:p>
        </w:tc>
        <w:tc>
          <w:tcPr>
            <w:tcW w:w="380" w:type="dxa"/>
            <w:vAlign w:val="bottom"/>
          </w:tcPr>
          <w:p>
            <w:pPr>
              <w:spacing w:after="0"/>
              <w:rPr>
                <w:sz w:val="19"/>
                <w:szCs w:val="19"/>
                <w:color w:val="auto"/>
              </w:rPr>
            </w:pP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6,580</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4,790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vMerge w:val="restart"/>
          </w:tcPr>
          <w:p>
            <w:pPr>
              <w:jc w:val="right"/>
              <w:ind w:right="72"/>
              <w:spacing w:after="0"/>
              <w:rPr>
                <w:sz w:val="20"/>
                <w:szCs w:val="20"/>
                <w:color w:val="auto"/>
              </w:rPr>
            </w:pPr>
            <w:r>
              <w:rPr>
                <w:rFonts w:ascii="Arial" w:cs="Arial" w:eastAsia="Arial" w:hAnsi="Arial"/>
                <w:sz w:val="18"/>
                <w:szCs w:val="18"/>
                <w:color w:val="auto"/>
              </w:rPr>
              <w:t>27</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16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economic conditions and performance; the development, customer acceptance and anticipated performance of technologies, products or services; satellite construction and launch activities, including the orbit raising, orbital placement, in-orbit testing, transfer of control to us and entry into service of our ViaSat-2 satellite and the timing thereof; the performance and anticipated benefits of our ViaSat-2 and ViaSat-3 class satellites and any future satellite we may construct or acquire; the expected completion, capacity, service, coverage, service speeds and other features of our satellites, and the timing, cost, economics and other benefits associated therewith; anticipated subscriber growth;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the failure of the ViaSat-2 satellite to successfully complete orbit raising, orbital placement or in-orbit testing; our ability to realize the anticipated benefits of the ViaSat-2 and ViaSat-3 class satellites and any future satellite we may construct or acquire; unexpected expenses related to our satellite projects; our ability to realize the anticipated benefits of our strategic partnering arrangement with Eutelsat S.A. (together with its affiliates, Eutelsat) or any of our acquisitions; our ability to successfully implement our business plan for our broadband services on our anticipated timeline or at all; risks associated with the construction, launch and operation of satellites, including the effect of any anomaly, operational failure or degradation in satellite performance;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introduction of new technologies and other factors affecting the communications and defense industries generally; the effect of adverse regulatory changes on our ability to sell products and services;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 Item 1A of our Annual Report on Form 10-K for the fiscal year ended March 31, 2017, under the heading “Risk Factors” in Part II,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are an innovator in broadband technologies and services. Our end-to-end platform of high-capacity Ka-band satellites, ground infrastructure and user terminals enables us to provide cost-effective, high-speed, high-quality broadband solutions to enterprises, consumers and government users around the globe, whether on the ground, on the move or in flight. In addition, we develop and provide advanced wireless communications systems, secure networking systems and cybersecurity and information assurance products and services. Our product, system and service offerings are often linked through common underlying technologies, customer applications and market relationships. We believe that our portfolio of products and services,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 ViaSat, Inc. was incorporated in California in 1986, and reincorporated as a Delaware corporation in 1996.</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conduct our business through three segments: satellite services, commercial networks and government systems.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Services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satellite services business uses our proprietary technology platform to provide satellite-based high-speed broadband services with multiple applications to consumers, enterprises, commercial airlines and mobile broadband customers. Our proprietary Ka-band satellites are at the core of our technology platform. The ViaSat-1 satellite (our first-generation high-capacity Ka-band spot-beam satellite) was placed into service in January 2012. On June 1, 2017, our second-generation ViaSat-2 satellite was successfully launched into orbit, and the satellite manufacturer will transfer operation of the satellite to us following the successful completion of</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orbit raising, orbital placement and in-orbit testing. We currently have two third-generation ViaSat-3 class satellites under construction. We also own the WildBlue-1 satellite, which was placed into service in March 2007.</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services offered by our satellite services segment are comprised of:</w:t>
      </w:r>
    </w:p>
    <w:p>
      <w:pPr>
        <w:spacing w:after="0" w:line="90" w:lineRule="exact"/>
        <w:rPr>
          <w:sz w:val="20"/>
          <w:szCs w:val="20"/>
          <w:color w:val="auto"/>
        </w:rPr>
      </w:pPr>
    </w:p>
    <w:p>
      <w:pPr>
        <w:ind w:left="900" w:right="36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Fixed broadband services under the Exede</w:t>
      </w:r>
      <w:r>
        <w:rPr>
          <w:rFonts w:ascii="Arial" w:cs="Arial" w:eastAsia="Arial" w:hAnsi="Arial"/>
          <w:sz w:val="11"/>
          <w:szCs w:val="11"/>
          <w:color w:val="auto"/>
        </w:rPr>
        <w:t>®</w:t>
      </w:r>
      <w:r>
        <w:rPr>
          <w:rFonts w:ascii="Arial" w:cs="Arial" w:eastAsia="Arial" w:hAnsi="Arial"/>
          <w:sz w:val="18"/>
          <w:szCs w:val="18"/>
          <w:color w:val="auto"/>
        </w:rPr>
        <w:t xml:space="preserve"> and Wildblue</w:t>
      </w:r>
      <w:r>
        <w:rPr>
          <w:rFonts w:ascii="Arial" w:cs="Arial" w:eastAsia="Arial" w:hAnsi="Arial"/>
          <w:sz w:val="11"/>
          <w:szCs w:val="11"/>
          <w:color w:val="auto"/>
        </w:rPr>
        <w:t>®</w:t>
      </w:r>
      <w:r>
        <w:rPr>
          <w:rFonts w:ascii="Arial" w:cs="Arial" w:eastAsia="Arial" w:hAnsi="Arial"/>
          <w:sz w:val="18"/>
          <w:szCs w:val="18"/>
          <w:color w:val="auto"/>
        </w:rPr>
        <w:t xml:space="preserve"> brands, which provide consumers and businesses with high-speed broadband internet access and Voice over Internet Protocol (VoIP) services. As of September 30, 2017, we provided broadband internet services to approximately 589,000 consumer and small business subscribers.</w:t>
      </w:r>
    </w:p>
    <w:p>
      <w:pPr>
        <w:spacing w:after="0" w:line="59"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In-flight services including our flagship ViaSat in-flight internet services and aviation software services. As of September 30, 2017, 576 commercial aircraft were in service utilizing our ViaSat in-flight internet services.</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Mobile broadband services, which provide global network management and high-speed internet connectivity services for customers using airborne, maritime and ground-mobile satellite systems.</w:t>
      </w:r>
    </w:p>
    <w:p>
      <w:pPr>
        <w:spacing w:after="0" w:line="5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Enterprise broadband services, which include business connectivity, live on-line event streaming, oil and natural gas data gathering services and high-definition satellite news gathering.</w:t>
      </w:r>
    </w:p>
    <w:p>
      <w:pPr>
        <w:spacing w:after="0" w:line="13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On March 3, 2017, we consummated our strategic partnering arrangement with Eutelsat for the ownership and operation of satellite broadband infrastructure, equipment, and provision of satellite-based broadband internet services in the European region. At the closing of the transaction, Eutelsat contributed and transferred assets relating to its existing wholesale satellite broadband business (including its KA-SAT satellite) to a subsidiary of Eutelsat, Euro Broadband Infrastructure Sàrl (Euro Infrastructure Co.), in exchange for the issuance of new shares in such subsidiary, and immediately following such contribution and issuance, we purchased 49% of the issued shares of Euro Infrastructure Co. from Eutelsat for cash consideration of $139.5 million. Our total net cash outlay for this investment in Euro Infrastructure Co., including approximately $2.4 million of transaction costs, was approximately $141.9 million. Also at the closing, Eutelsat purchased 49% of the issued shares of our subsidiary, Euro Broadband Retail Sàrl (Euro Retail Co.), for an immaterial amount. Under the strategic partnering arrangement, Euro Infrastructure Co. owns and operates the KA-SAT satellite and related assets and offers wholesale satellite capacity services in the European region, and Euro Retail Co. purchases wholesale satellite capacity services and offers retail satellite-based broadband internet services in the European region.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Networks</w:t>
      </w:r>
    </w:p>
    <w:p>
      <w:pPr>
        <w:spacing w:after="0" w:line="1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commercial networks segment develops and produces a variety of advanced satellite and wireless products, systems and solutions that enable the provision of high-speed fixed and mobile broadband services. Our products, systems and solutions include an array of satellite-based and wireless broadband platforms, networking equipment, space hardware, radio frequency and advanced microwave solutions, space-to-earth connectivity systems, customer premise equipment (CPE), satellite modems and antenna technologies, as well as satellite payload development and ASIC chip design. Our products, systems and solutions are generally developed through a combination of customer and discretionary internal research and development funding, are utilized to provide services through our satellite services segment and are also sold to commercial networks customers (with sales of complementary products, systems and solutions to government customers included in our government systems segment). The primary products, systems, solutions and services offered by our commercial networks segment are comprised of:</w:t>
      </w:r>
    </w:p>
    <w:p>
      <w:pPr>
        <w:spacing w:after="0" w:line="37"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Mobile broadband satellite communication systems, designed for use in aircraft and seagoing vessels.</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Fixed satellite networks, including next-generation satellite network infrastructure and ground terminals to access Ka-band broadband services on high-capacity satellites.</w:t>
      </w:r>
    </w:p>
    <w:p>
      <w:pPr>
        <w:spacing w:after="0" w:line="50" w:lineRule="exact"/>
        <w:rPr>
          <w:rFonts w:ascii="Arial" w:cs="Arial" w:eastAsia="Arial" w:hAnsi="Arial"/>
          <w:sz w:val="18"/>
          <w:szCs w:val="18"/>
          <w:color w:val="auto"/>
        </w:rPr>
      </w:pPr>
    </w:p>
    <w:p>
      <w:pPr>
        <w:ind w:left="900" w:right="62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Antenna systems specializing in earth imaging, remote sensing, mobile satellite communication, Ka-band earth stations and other multi-band antennas.</w:t>
      </w:r>
    </w:p>
    <w:p>
      <w:pPr>
        <w:spacing w:after="0" w:line="50" w:lineRule="exact"/>
        <w:rPr>
          <w:rFonts w:ascii="Arial" w:cs="Arial" w:eastAsia="Arial" w:hAnsi="Arial"/>
          <w:sz w:val="18"/>
          <w:szCs w:val="18"/>
          <w:color w:val="auto"/>
        </w:rPr>
      </w:pPr>
    </w:p>
    <w:p>
      <w:pPr>
        <w:ind w:left="900" w:right="40" w:hanging="325"/>
        <w:spacing w:after="0" w:line="294"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Satellite networking development, including specialized design and technology services covering all aspects of satellite communication system architecture and technology, including satellite and ground systems, fabless semiconductor design for ASIC and MMIC chips and WAN compression for enterprise networks, as well as modules and subsystems for various commercial, military and space uses and radio frequency and advanced microwave solutions. We also design and develop high-capacity Ka-band satellites as part of our commercial networks segment (both for our own satellite fleet and for third parties) and design, develop and produce the associated satellite payload technologies.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Systems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government systems segment provides global mobile broadband services to military and government users, and develops and produces network-centric internet protocol (IP)-based fixed and mobile secure communications products and solutions that are designed to enable the collection and dissemination of secure real-time digital information between individuals on the tactical edge, command centers, strategic communications nodes, ground and maritime platforms and airborne intelligence and defense platforms. Customers of our government systems segment include the U.S. Department of Defense (DoD), allied foreign governments, allied armed forces, public safety first-responders and remote government employees.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90" w:lineRule="exact"/>
        <w:rPr>
          <w:sz w:val="20"/>
          <w:szCs w:val="20"/>
          <w:color w:val="auto"/>
        </w:rPr>
      </w:pPr>
    </w:p>
    <w:p>
      <w:pPr>
        <w:ind w:left="900" w:right="14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mobile broadband products and services, which provide military and government users with high-speed, real-time, broadband and multimedia connectivity in key regions of the world, as well as line-of-sight and beyond-line-of-sight Intelligence Surveillance and Reconnaissance (ISR) missions.</w:t>
      </w:r>
    </w:p>
    <w:p>
      <w:pPr>
        <w:spacing w:after="0" w:line="59" w:lineRule="exact"/>
        <w:rPr>
          <w:rFonts w:ascii="Arial" w:cs="Arial" w:eastAsia="Arial" w:hAnsi="Arial"/>
          <w:sz w:val="18"/>
          <w:szCs w:val="18"/>
          <w:color w:val="auto"/>
        </w:rPr>
      </w:pPr>
    </w:p>
    <w:p>
      <w:pPr>
        <w:ind w:left="900" w:right="100" w:hanging="325"/>
        <w:spacing w:after="0" w:line="298"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Government satellite communication systems, which comprise an array of portable, mobile and fixed broadband modems, terminals, network access control systems and antenna systems using a range of satellite frequency bands for Command and Control (C2) missions, satellite networking services and network management systems for Wi-Fi and other internet access networks, and include products designed for manpacks, aircraft, unmanned aerial vehicles (UAVs), seagoing vessels, ground mobile vehicles and fixed applications.</w:t>
      </w:r>
    </w:p>
    <w:p>
      <w:pPr>
        <w:spacing w:after="0" w:line="31" w:lineRule="exact"/>
        <w:rPr>
          <w:rFonts w:ascii="Arial" w:cs="Arial" w:eastAsia="Arial" w:hAnsi="Arial"/>
          <w:sz w:val="16"/>
          <w:szCs w:val="16"/>
          <w:color w:val="auto"/>
        </w:rPr>
      </w:pPr>
    </w:p>
    <w:p>
      <w:pPr>
        <w:ind w:left="900" w:right="30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Cybersecurity and information assurance products, which provide advanced, high-speed IP-based “Type 1” and High Assurance Internet Protocol Encryption (HAIPE</w:t>
      </w:r>
      <w:r>
        <w:rPr>
          <w:rFonts w:ascii="Arial" w:cs="Arial" w:eastAsia="Arial" w:hAnsi="Arial"/>
          <w:sz w:val="11"/>
          <w:szCs w:val="11"/>
          <w:color w:val="auto"/>
        </w:rPr>
        <w:t>®</w:t>
      </w:r>
      <w:r>
        <w:rPr>
          <w:rFonts w:ascii="Arial" w:cs="Arial" w:eastAsia="Arial" w:hAnsi="Arial"/>
          <w:sz w:val="18"/>
          <w:szCs w:val="18"/>
          <w:color w:val="auto"/>
        </w:rPr>
        <w:t>)-compliant encryption solutions that enable military and government users to communicate information securely over networks, and that secure data stored on computers and storage devices.</w:t>
      </w:r>
    </w:p>
    <w:p>
      <w:pPr>
        <w:spacing w:after="0" w:line="59" w:lineRule="exact"/>
        <w:rPr>
          <w:rFonts w:ascii="Arial" w:cs="Arial" w:eastAsia="Arial" w:hAnsi="Arial"/>
          <w:sz w:val="18"/>
          <w:szCs w:val="18"/>
          <w:color w:val="auto"/>
        </w:rPr>
      </w:pPr>
    </w:p>
    <w:p>
      <w:pPr>
        <w:ind w:left="900" w:right="140" w:hanging="325"/>
        <w:spacing w:after="0" w:line="306"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Tactical data links, including our Battlefield Awareness and Targeting System — Dismounted (BATS-D) handheld Link 16 radios, our KOR-24A 2-channel Small Tactical Terminal for manned and unmanned applications, “disposable” defense data links, our Multifunctional Information Distribution System (MIDS) terminals for military fighter jets and their successor, MIDS Joint Tactical Radio System (MIDS-JTRS) terminals.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satellite services segment revenues are primarily derived from our fixed broadband services business, our in-flight services business and our worldwide managed network services.</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Revenues in our commercial networks and government systems segments are primarily derived from three types of contracts: fixed-price, time-and-materials and cost-reimbursement contracts. Fixed-price contracts (which require us to provide products and services under a contract at a specified price) comprised approximately 87% and 89% of our total revenues for these segments for the three months ended September 30, 2017 and 2016, respectively, and 87% and 88% of our total revenues for these segments for the six months ended September 30, 2017 and 2016, respectively. The remainder of our revenues in these segments for such periods was derived primarily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ability to grow and maintain our revenues in our commercial networks and government systems segments has to date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Historically, a significant portion of our revenues in our commercial networks and government systems segments has been derived from customer contracts that include the research and development of products. The research and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research and development from our customer contracts were approximately 19% and 16% of our total revenues in the three months ended September 30, 2017 and 2016, respectively. Revenues for our funded research and development from our customer contracts were approximately 19% of our total revenues in the six months ended September 30, 2017 and 2016.</w:t>
      </w:r>
    </w:p>
    <w:p>
      <w:pPr>
        <w:spacing w:after="0" w:line="12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also incur independent research and development (IR&amp;D) expenses, which are not directly funded by a third party. IR&amp;D expenses consist primarily of salaries and other personnel-related expenses, supplies, prototype materials, testing and certification related to research and development projects. IR&amp;D expenses were approximately 12% and 8% of total revenues during the three months ended September 30, 2017 and 2016, respectively, and approximately 12% and 7% of total revenues during the six months ended September 30, 2017 and 2016, respectively. As a government contractor, we are able to recover a portion of our IR&amp;D expenses pursuant to our government contracts.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 substantial portion of our revenues is derived from long-term contracts requiring development and delivery of complex equipment built to customer specifications. Sales related to these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w:t>
      </w:r>
    </w:p>
    <w:p>
      <w:pPr>
        <w:spacing w:after="0" w:line="11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percentage-of-completion method of accounting requires management to estimate the profit margin for each individual contract and to apply that profit margin on a uniform basis as sales are recorded under the contract. The estimation of profit margins requires management to make projections of the total sales to be generated and the total costs that will be incurred under a contract. These projections require management to make numerous assumptions and estimates relating to items such as the complexity of design and related development costs, performance of subcontractors, availability and cost of materials, labor productivity and cost, overhead and capital costs and manufacturing efficiency. These contracts often include purchase options for additional quantities and customer change orders for additional or revised product functionality. Purchase options and change orders are accounted for either as an integral part of the original contract or separately depending upon the nature and value of the item. For contract claims or similar items, we apply judgment in estimating the amounts and assessing the potential for realization. These amounts are only included in contract value when they can be reliably estimated and realization is considered probable. Anticipated losses on contracts are recognized in full in the period in which losses become probable and estimable. During the three months ended September 30, 2017 and 2016, we recorded losses of approximately $1.5 million and $1.6 million, respectively, related to loss contracts. During the six months ended September 30, 2017 and 2016, we recorded losses of approximately $3.7 million and $2.0 million, respectively, related to loss contracts.</w:t>
      </w:r>
    </w:p>
    <w:p>
      <w:pPr>
        <w:spacing w:after="0" w:line="12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Assuming the initial estimates of sales and costs under a contract are accurate, the percentage-of-completion method results in the profit margin being recorded evenly as revenue is recognized under the contract. Changes in these underlying estimates due to revisions in sales and future cost estimates or the exercise of contract options may result in profit margins being recognized unevenly over a contract as such changes are accounted for on a cumulative basis in the period estimates are revised. We believe we have established appropriate systems and processes to enable us to reasonably estimate future costs on our programs through regular evaluations of contract costs, scheduling and technical matters by business unit personnel and management. Historically, in the aggregate, we have not experienced significant deviations in actual costs from estimated program costs, and when deviations that result in significant adjustments arise, we disclose the related impact in Management’s Discussion and Analysis of Financial Condition and Results of Operations. However, these estimates require significant management judgment, and a significant change in future cost estimates on one or more programs could have a material effect on our results of operations. A one percent variance in our future cost estimates on open fixed-price contracts as of September 30, 2017 would change our loss before income taxes by an insignificant amount.</w:t>
      </w:r>
    </w:p>
    <w:p>
      <w:pPr>
        <w:spacing w:after="0" w:line="12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also derive a substantial portion of our revenues from contracts and purchase orders where revenue is recorded on delivery of products or performance of services in accordance with the authoritative guidance for revenue recognition (ASC 605). Under this standard, we recognize revenue when an arrangement exists, prices are determinable, collectability is reasonably assured and the goods or services have been delivered.</w:t>
      </w:r>
    </w:p>
    <w:p>
      <w:pPr>
        <w:spacing w:after="0" w:line="107" w:lineRule="exact"/>
        <w:rPr>
          <w:sz w:val="20"/>
          <w:szCs w:val="20"/>
          <w:color w:val="auto"/>
        </w:rPr>
      </w:pPr>
    </w:p>
    <w:p>
      <w:pPr>
        <w:ind w:right="160" w:firstLine="456"/>
        <w:spacing w:after="0" w:line="303" w:lineRule="auto"/>
        <w:rPr>
          <w:sz w:val="20"/>
          <w:szCs w:val="20"/>
          <w:color w:val="auto"/>
        </w:rPr>
      </w:pPr>
      <w:r>
        <w:rPr>
          <w:rFonts w:ascii="Arial" w:cs="Arial" w:eastAsia="Arial" w:hAnsi="Arial"/>
          <w:sz w:val="15"/>
          <w:szCs w:val="15"/>
          <w:color w:val="auto"/>
        </w:rPr>
        <w:t>We also enter into certain leasing arrangements with customers and evaluate the contracts in accordance with the authoritative guidance for leases (ASC 840). Our accounting for equipment leases involves specific determinations under the authoritative guidance for leases, which often involve complex provisions and significant judgments. In accordance with the authoritative guidance for leases, we classify the transactions as sales type or operating leases based on:</w:t>
      </w:r>
    </w:p>
    <w:p>
      <w:pPr>
        <w:spacing w:after="0" w:line="1" w:lineRule="exact"/>
        <w:rPr>
          <w:sz w:val="20"/>
          <w:szCs w:val="20"/>
          <w:color w:val="auto"/>
        </w:rPr>
      </w:pPr>
    </w:p>
    <w:p>
      <w:pPr>
        <w:ind w:right="60" w:firstLine="8"/>
        <w:spacing w:after="0" w:line="288" w:lineRule="auto"/>
        <w:tabs>
          <w:tab w:leader="none" w:pos="2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we consider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2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accordance with the authoritative guidance for revenue recognition for multiple element arrangements, the Accounting Standards Update (ASU) 2009-13 (ASU 2009-13), Revenue Recognition (ASC 605) Multiple-Deliverable Revenue Arrangements,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which updates ASC 605-25, Revenue Recognition-Multiple element arrangements, of the Financial Accounting Standards Board (FASB) codification, for substantially all of the arrangements with multiple deliverables, we allocate revenue to each element based on a selling price hierarchy at the arrangement inception. The selling price for each element is based upon the following selling price hierarchy: vendor specific objective evidence (VSOE) if available, third-party evidence (TPE) if VSOE is not available, or estimated selling price (ESP) if neither VSOE nor TPE are available (a description as to how we determine VSOE, TPE and ESP is provided below). If a tangible hardware systems product includes software, we determine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determine the selling price in multiple-element arrangements, we establish VSOE of the selling price using the price charged for a deliverable when sold separately. We also consider specific renewal rates offered to customers for software license updates, product support and hardware systems support, and other services. For nonsoftware multiple-element arrangements, TPE is established by evaluating similar and/or interchangeable competitor products or services in standalone arrangements with similarly situated customers and/or agreements. If we are unable to determine the selling price because VSOE or TPE doesn’t exist, we determine ESP for the purposes of allocating the arrangement by reviewing historical transactions, including transactions whereby the deliverable was sold on a standalone basis, and considering several other external and internal factors including, but not limited to, pricing practices including discounting, margin objectives, competition, the geographies in which we offer our products and services, the type of customer (i.e. distributor, value added reseller, government agency or direct end user, among others), volume commitments and the stage of the product lifecycle. The determination of ESP considers our pricing model and go-to-market strategy. As our, or our competitors’, pricing and go-to-market strategies evolve, we may modify our pricing practices in the future, which could result in changes to our determination of VSOE, TPE and ESP. As a result, our future revenue recognition for multiple-element arrangements could differ materially from those in the current period.</w:t>
      </w:r>
    </w:p>
    <w:p>
      <w:pPr>
        <w:spacing w:after="0" w:line="12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12 months. Amounts for obligations extending beyond the 12 months are recorded within other liabilities in the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90"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condensed consolidated financial statements.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 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own two satellites in service: ViaSat-1 (our first-generation high-capacity Ka-band spot-beam satellite, which was placed into service in January 2012) and WildBlue-1 (which was placed into service in March 2007). On June 1, 2017, our second-generation ViaSat-2 satellite was successfully launched into orbit, and the satellite manufacturer will transfer operation of the satellite to us following the successful completion of orbit raising, orbital placement and in-orbit testing. We currently have two third-generation ViaSat-3 class satellites under construction. In addition, we have an exclusive prepaid lifetime capital lease of Ka-band capacity over the contiguous United States on Telesat Canada’s Anik F2 satellite (which was placed into service in April 2005) and own related earth stations and networking equipment for all of our satellites. Property and equipment also includes the CPE units leased to subscribers under a retail leasing program as part of our satellite services segment.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periodically review the remaining estimated useful life of the satellite to determine if revisions to the estimated life are necessary.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the three and six months ended September 30, 2017 and 2016.</w:t>
      </w:r>
    </w:p>
    <w:p>
      <w:pPr>
        <w:spacing w:after="0" w:line="118"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We account for our goodwill under the authoritative guidance for goodwill and other intangible assets (ASC 350) and the provisions of ASU 2011-08, Testing Goodwill for Impairment, which simplifies how we test goodwill for impairment. Current authoritative guidance allows us to first assess qualitative factors to determine whether it is necessary to perform the two-step quantitative goodwill impairment test. If, after completing the qualitative assessment, we determine that it is more likely than not that the estimated fair value is greater than the carrying value, we conclude that no impairment exists. If it is more likely than not that the carrying value of the reporting unit exceeds its estimated fair value, we compare the fair value of the reporting unit to its carrying value. If the estimated fair value of the reporting unit is less than the carrying value, a second step is performed in which the implied fair value of goodwill is compared to its carrying value. If the implied fair value of goodwill is less than its carrying value, goodwill must be written down to its implied fair value, resulting in goodwill impairment. We test goodwill for impairment during the fourth quarter every fiscal year and when an event occurs or circumstances change such that it is reasonably possible that an impairment may exist.</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accordance with ASC 350, we assess qualitative factors to determine whether goodwill is impaired. Furthermore, in addition to qualitative analysis, we believe it is appropriate to conduct a quantitative analysis periodically as a prudent review of our reporting unit goodwill fair values. Our quantitative analysis estimates the fair values of the reporting units using discounted cash flows and other indicators of fair value. The forecast of future cash flow is based on our best estimate of each reporting unit’s future revenue and operating costs, based primarily on existing firm orders, expected future orders, contracts with suppliers, labor resources, general market conditions, and other relevant factors. Based on a quantitative analysis for fiscal year 2017, we concluded that estimated fair values of our reporting units significantly exceed their respective carrying values.</w:t>
      </w:r>
    </w:p>
    <w:p>
      <w:pPr>
        <w:spacing w:after="0" w:line="12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9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Based on our qualitative and quantitative assessment performed during the fourth quarter of fiscal year 2017, we concluded that it was more likely than not that the estimated fair value of our reporting units exceeded their carrying value as of March 31, 2017 and, therefore, determined it was not necessary to perform the two-step goodwill impairment test.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90" w:lineRule="exact"/>
        <w:rPr>
          <w:sz w:val="20"/>
          <w:szCs w:val="20"/>
          <w:color w:val="auto"/>
        </w:rPr>
      </w:pPr>
    </w:p>
    <w:p>
      <w:pPr>
        <w:ind w:right="240" w:firstLine="456"/>
        <w:spacing w:after="0" w:line="305" w:lineRule="auto"/>
        <w:rPr>
          <w:sz w:val="20"/>
          <w:szCs w:val="20"/>
          <w:color w:val="auto"/>
        </w:rPr>
      </w:pPr>
      <w:r>
        <w:rPr>
          <w:rFonts w:ascii="Arial" w:cs="Arial" w:eastAsia="Arial" w:hAnsi="Arial"/>
          <w:sz w:val="15"/>
          <w:szCs w:val="15"/>
          <w:color w:val="auto"/>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w:t>
      </w:r>
    </w:p>
    <w:p>
      <w:pPr>
        <w:spacing w:after="0" w:line="292" w:lineRule="auto"/>
        <w:rPr>
          <w:sz w:val="20"/>
          <w:szCs w:val="20"/>
          <w:color w:val="auto"/>
        </w:rPr>
      </w:pPr>
      <w:r>
        <w:rPr>
          <w:rFonts w:ascii="Arial" w:cs="Arial" w:eastAsia="Arial" w:hAnsi="Arial"/>
          <w:sz w:val="16"/>
          <w:szCs w:val="16"/>
          <w:color w:val="auto"/>
        </w:rPr>
        <w:t>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 Our valuation allowance against deferred tax assets increased from $17.7 million at March 31, 2017 to $19.4 million at September 30, 2017. The valuation allowance primarily relates to state net operating loss carryforwards and state research and development tax credit carryforwards.</w:t>
      </w:r>
    </w:p>
    <w:p>
      <w:pPr>
        <w:spacing w:after="0" w:line="11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analysis of the need for a valuation allowance on deferred tax assets considered historical as well as forecasted future operating results. In addition, our evaluation considered other factors, including our contractual backlog, our history of positive earnings, current earnings trends assuming our satellite services segment continues to grow, taxable income adjusted for certain items, and forecasted income by jurisdiction. We also considered the period over which these net deferred tax assets can be realized and our history of not having federal tax loss carryforwards expire unused.</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p>
    <w:p>
      <w:pPr>
        <w:spacing w:after="0" w:line="14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240" w:type="dxa"/>
            <w:vAlign w:val="bottom"/>
            <w:gridSpan w:val="4"/>
          </w:tcPr>
          <w:p>
            <w:pPr>
              <w:jc w:val="right"/>
              <w:ind w:right="1420"/>
              <w:spacing w:after="0"/>
              <w:rPr>
                <w:sz w:val="20"/>
                <w:szCs w:val="20"/>
                <w:color w:val="auto"/>
              </w:rPr>
            </w:pPr>
            <w:r>
              <w:rPr>
                <w:rFonts w:ascii="Arial" w:cs="Arial" w:eastAsia="Arial" w:hAnsi="Arial"/>
                <w:sz w:val="14"/>
                <w:szCs w:val="14"/>
                <w:b w:val="1"/>
                <w:bCs w:val="1"/>
                <w:color w:val="auto"/>
              </w:rPr>
              <w:t>Three Months Ended</w:t>
            </w:r>
          </w:p>
        </w:tc>
        <w:tc>
          <w:tcPr>
            <w:tcW w:w="264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1620" w:type="dxa"/>
            <w:vAlign w:val="bottom"/>
            <w:tcBorders>
              <w:top w:val="single" w:sz="8" w:color="auto"/>
            </w:tcBorders>
            <w:gridSpan w:val="2"/>
          </w:tcPr>
          <w:p>
            <w:pPr>
              <w:jc w:val="right"/>
              <w:ind w:right="80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8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800" w:type="dxa"/>
            <w:vAlign w:val="bottom"/>
          </w:tcPr>
          <w:p>
            <w:pPr>
              <w:spacing w:after="0"/>
              <w:rPr>
                <w:sz w:val="11"/>
                <w:szCs w:val="11"/>
                <w:color w:val="auto"/>
              </w:rPr>
            </w:pPr>
          </w:p>
        </w:tc>
        <w:tc>
          <w:tcPr>
            <w:tcW w:w="1620" w:type="dxa"/>
            <w:vAlign w:val="bottom"/>
            <w:tcBorders>
              <w:top w:val="single" w:sz="8" w:color="auto"/>
            </w:tcBorders>
            <w:gridSpan w:val="2"/>
          </w:tcPr>
          <w:p>
            <w:pPr>
              <w:jc w:val="right"/>
              <w:ind w:right="80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8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8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8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8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100.0%</w:t>
            </w: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100.0%</w:t>
            </w: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Product revenues</w:t>
            </w: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46.2</w:t>
            </w: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46.9</w:t>
            </w: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45.0</w:t>
            </w:r>
          </w:p>
        </w:tc>
        <w:tc>
          <w:tcPr>
            <w:tcW w:w="820" w:type="dxa"/>
            <w:vAlign w:val="bottom"/>
          </w:tcPr>
          <w:p>
            <w:pPr>
              <w:jc w:val="right"/>
              <w:spacing w:after="0"/>
              <w:rPr>
                <w:sz w:val="20"/>
                <w:szCs w:val="20"/>
                <w:color w:val="auto"/>
              </w:rPr>
            </w:pPr>
            <w:r>
              <w:rPr>
                <w:rFonts w:ascii="Arial" w:cs="Arial" w:eastAsia="Arial" w:hAnsi="Arial"/>
                <w:sz w:val="18"/>
                <w:szCs w:val="18"/>
                <w:color w:val="auto"/>
              </w:rPr>
              <w:t>45.6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revenues</w:t>
            </w: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53.8</w:t>
            </w: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53.1</w:t>
            </w: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55.0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product revenues</w:t>
            </w: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34.1</w:t>
            </w: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34.3</w:t>
            </w: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33.2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Cost of service revenues</w:t>
            </w: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34.4</w:t>
            </w: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33.6</w:t>
            </w: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35.3</w:t>
            </w:r>
          </w:p>
        </w:tc>
        <w:tc>
          <w:tcPr>
            <w:tcW w:w="820" w:type="dxa"/>
            <w:vAlign w:val="bottom"/>
          </w:tcPr>
          <w:p>
            <w:pPr>
              <w:jc w:val="right"/>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22.9</w:t>
            </w: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19.3</w:t>
            </w: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23.2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Independent research and development</w:t>
            </w: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11.8</w:t>
            </w: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7.6</w:t>
            </w: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11.8</w:t>
            </w:r>
          </w:p>
        </w:tc>
        <w:tc>
          <w:tcPr>
            <w:tcW w:w="82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20" w:type="dxa"/>
            <w:vAlign w:val="bottom"/>
            <w:gridSpan w:val="2"/>
          </w:tcPr>
          <w:p>
            <w:pPr>
              <w:spacing w:after="0"/>
              <w:rPr>
                <w:sz w:val="20"/>
                <w:szCs w:val="20"/>
                <w:color w:val="auto"/>
              </w:rPr>
            </w:pPr>
            <w:r>
              <w:rPr>
                <w:rFonts w:ascii="Arial" w:cs="Arial" w:eastAsia="Arial" w:hAnsi="Arial"/>
                <w:sz w:val="18"/>
                <w:szCs w:val="18"/>
                <w:color w:val="auto"/>
              </w:rPr>
              <w:t>(Loss) income from operations</w:t>
            </w: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(4.0)</w:t>
            </w: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4.6</w:t>
            </w: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(4.4)</w:t>
            </w: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(0.0)</w:t>
            </w: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w:t>
            </w: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(2.6)</w:t>
            </w: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(1.3)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(6.6)</w:t>
            </w: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3.6</w:t>
            </w: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c>
          <w:tcPr>
            <w:tcW w:w="80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(0.9)</w:t>
            </w: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2.7</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(3.5)</w:t>
            </w: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2.7</w:t>
            </w: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Net (loss) income attributable to ViaSat, Inc.</w:t>
            </w: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(3.5)</w:t>
            </w: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2.8</w:t>
            </w: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(2.9)</w:t>
            </w: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4900"/>
        <w:spacing w:after="0" w:line="369" w:lineRule="auto"/>
        <w:rPr>
          <w:sz w:val="20"/>
          <w:szCs w:val="20"/>
          <w:color w:val="auto"/>
        </w:rPr>
      </w:pPr>
      <w:r>
        <w:rPr>
          <w:rFonts w:ascii="Arial" w:cs="Arial" w:eastAsia="Arial" w:hAnsi="Arial"/>
          <w:sz w:val="18"/>
          <w:szCs w:val="18"/>
          <w:b w:val="1"/>
          <w:bCs w:val="1"/>
          <w:color w:val="auto"/>
        </w:rPr>
        <w:t xml:space="preserve">Three Months Ended September 30, 2017 vs. Three Months Ended September 30, 2016 </w:t>
      </w:r>
      <w:r>
        <w:rPr>
          <w:rFonts w:ascii="Arial" w:cs="Arial" w:eastAsia="Arial" w:hAnsi="Arial"/>
          <w:sz w:val="18"/>
          <w:szCs w:val="18"/>
          <w:i w:val="1"/>
          <w:iCs w:val="1"/>
          <w:color w:val="auto"/>
        </w:rPr>
        <w:t>Revenues</w:t>
      </w:r>
    </w:p>
    <w:p>
      <w:pPr>
        <w:spacing w:after="0" w:line="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1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00" w:type="dxa"/>
            <w:vAlign w:val="bottom"/>
          </w:tcPr>
          <w:p>
            <w:pPr>
              <w:spacing w:after="0"/>
              <w:rPr>
                <w:sz w:val="11"/>
                <w:szCs w:val="11"/>
                <w:color w:val="auto"/>
              </w:rPr>
            </w:pPr>
          </w:p>
        </w:tc>
        <w:tc>
          <w:tcPr>
            <w:tcW w:w="8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6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600" w:type="dxa"/>
            <w:vAlign w:val="bottom"/>
          </w:tcPr>
          <w:p>
            <w:pPr>
              <w:spacing w:after="0"/>
              <w:rPr>
                <w:sz w:val="11"/>
                <w:szCs w:val="11"/>
                <w:color w:val="auto"/>
              </w:rPr>
            </w:pPr>
          </w:p>
        </w:tc>
        <w:tc>
          <w:tcPr>
            <w:tcW w:w="1260" w:type="dxa"/>
            <w:vAlign w:val="bottom"/>
            <w:gridSpan w:val="3"/>
          </w:tcPr>
          <w:p>
            <w:pPr>
              <w:jc w:val="center"/>
              <w:ind w:right="660"/>
              <w:spacing w:after="0" w:line="12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80"/>
              <w:spacing w:after="0" w:line="148" w:lineRule="exact"/>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2"/>
                <w:szCs w:val="12"/>
                <w:color w:val="auto"/>
              </w:rPr>
            </w:pPr>
          </w:p>
        </w:tc>
        <w:tc>
          <w:tcPr>
            <w:tcW w:w="12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35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181.8</w:t>
            </w:r>
          </w:p>
        </w:tc>
        <w:tc>
          <w:tcPr>
            <w:tcW w:w="6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187.2</w:t>
            </w: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color w:val="auto"/>
                <w:w w:val="70"/>
              </w:rPr>
              <w:t>(5.5)</w:t>
            </w:r>
          </w:p>
        </w:tc>
        <w:tc>
          <w:tcPr>
            <w:tcW w:w="66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Service revenues</w:t>
            </w:r>
          </w:p>
        </w:tc>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211.3</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18"/>
                <w:szCs w:val="18"/>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(0.6)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5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399.2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total revenues decreased by $6.1 million as a result of a $5.5 million decrease in product revenues and a $0.6 million decrease in service revenues. The product revenue decrease was driven by decreases of $11.1 million in our commercial networks segment and $6.6 million in our satellite services segment, partially offset by an increase of $12.2 million in our government systems segment. The decrease in product revenue in our satellite services segment reflected the payments in the prior year period under our settlement agreement with Space Systems/Loral, Inc. and its former parent company Loral Space &amp; Communications, Inc. (the Settlement Agreement) recognized as product revenue. As of March 31, 2017 all payments pursuant to the Settlement Agreement had been recorded and no further impacts to our consolidated financial statements are anticipated related to the Settlement Agreement.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1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00" w:type="dxa"/>
            <w:vAlign w:val="bottom"/>
          </w:tcPr>
          <w:p>
            <w:pPr>
              <w:spacing w:after="0"/>
              <w:rPr>
                <w:sz w:val="11"/>
                <w:szCs w:val="11"/>
                <w:color w:val="auto"/>
              </w:rPr>
            </w:pPr>
          </w:p>
        </w:tc>
        <w:tc>
          <w:tcPr>
            <w:tcW w:w="8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6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60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80"/>
              <w:spacing w:after="0" w:line="148" w:lineRule="exact"/>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2"/>
                <w:szCs w:val="12"/>
                <w:color w:val="auto"/>
              </w:rPr>
            </w:pPr>
          </w:p>
        </w:tc>
        <w:tc>
          <w:tcPr>
            <w:tcW w:w="12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7"/>
              </w:rPr>
              <w:t>Cost of product revenues</w:t>
            </w:r>
          </w:p>
        </w:tc>
        <w:tc>
          <w:tcPr>
            <w:tcW w:w="35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133.9</w:t>
            </w:r>
          </w:p>
        </w:tc>
        <w:tc>
          <w:tcPr>
            <w:tcW w:w="6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136.8</w:t>
            </w: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w:t>
            </w:r>
          </w:p>
        </w:tc>
        <w:tc>
          <w:tcPr>
            <w:tcW w:w="66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8"/>
              </w:rPr>
              <w:t>Cost of service revenues</w:t>
            </w:r>
          </w:p>
        </w:tc>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135.4</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35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Cost of revenues decreased by $1.8 million due to a decrease of $3.0 million in cost of product revenues, partially offset by an increase of $1.2 million in cost of service revenues. The cost of product revenue decrease mainly related to improved margins in global mobile broadband products in our government systems segment. The cost of service revenue increase mainly related to lower margins for our in-flight services and Exede broadband services in our satellite services segment due to the ramp up of large-scale commercial air in-flight connectivity services and preparation for the ViaSat-2 service launch.</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8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920" w:type="dxa"/>
            <w:vAlign w:val="bottom"/>
            <w:vMerge w:val="restart"/>
          </w:tcPr>
          <w:p>
            <w:pPr>
              <w:spacing w:after="0"/>
              <w:rPr>
                <w:sz w:val="11"/>
                <w:szCs w:val="11"/>
                <w:color w:val="auto"/>
              </w:rPr>
            </w:pPr>
          </w:p>
        </w:tc>
        <w:tc>
          <w:tcPr>
            <w:tcW w:w="1480" w:type="dxa"/>
            <w:vAlign w:val="bottom"/>
          </w:tcPr>
          <w:p>
            <w:pPr>
              <w:spacing w:after="0"/>
              <w:rPr>
                <w:sz w:val="11"/>
                <w:szCs w:val="11"/>
                <w:color w:val="auto"/>
              </w:rPr>
            </w:pPr>
          </w:p>
        </w:tc>
        <w:tc>
          <w:tcPr>
            <w:tcW w:w="14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660" w:type="dxa"/>
            <w:vAlign w:val="bottom"/>
          </w:tcPr>
          <w:p>
            <w:pPr>
              <w:spacing w:after="0"/>
              <w:rPr>
                <w:sz w:val="11"/>
                <w:szCs w:val="11"/>
                <w:color w:val="auto"/>
              </w:rPr>
            </w:pPr>
          </w:p>
        </w:tc>
        <w:tc>
          <w:tcPr>
            <w:tcW w:w="128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7"/>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6"/>
              <w:spacing w:after="0" w:line="148" w:lineRule="exact"/>
              <w:rPr>
                <w:sz w:val="20"/>
                <w:szCs w:val="20"/>
                <w:color w:val="auto"/>
              </w:rPr>
            </w:pPr>
            <w:r>
              <w:rPr>
                <w:rFonts w:ascii="Arial" w:cs="Arial" w:eastAsia="Arial" w:hAnsi="Arial"/>
                <w:sz w:val="14"/>
                <w:szCs w:val="14"/>
                <w:b w:val="1"/>
                <w:bCs w:val="1"/>
                <w:color w:val="auto"/>
              </w:rPr>
              <w:t>2017</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rPr>
              <w:t>2016</w:t>
            </w:r>
          </w:p>
        </w:tc>
        <w:tc>
          <w:tcPr>
            <w:tcW w:w="660" w:type="dxa"/>
            <w:vAlign w:val="bottom"/>
          </w:tcPr>
          <w:p>
            <w:pPr>
              <w:spacing w:after="0"/>
              <w:rPr>
                <w:sz w:val="12"/>
                <w:szCs w:val="12"/>
                <w:color w:val="auto"/>
              </w:rPr>
            </w:pPr>
          </w:p>
        </w:tc>
        <w:tc>
          <w:tcPr>
            <w:tcW w:w="1280" w:type="dxa"/>
            <w:vAlign w:val="bottom"/>
            <w:gridSpan w:val="2"/>
          </w:tcPr>
          <w:p>
            <w:pPr>
              <w:jc w:val="center"/>
              <w:ind w:right="660"/>
              <w:spacing w:after="0" w:line="148" w:lineRule="exact"/>
              <w:rPr>
                <w:sz w:val="20"/>
                <w:szCs w:val="20"/>
                <w:color w:val="auto"/>
              </w:rPr>
            </w:pPr>
            <w:r>
              <w:rPr>
                <w:rFonts w:ascii="Arial" w:cs="Arial" w:eastAsia="Arial" w:hAnsi="Arial"/>
                <w:sz w:val="14"/>
                <w:szCs w:val="14"/>
                <w:b w:val="1"/>
                <w:bCs w:val="1"/>
                <w:color w:val="auto"/>
                <w:w w:val="86"/>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3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4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20" w:type="dxa"/>
            <w:vAlign w:val="bottom"/>
            <w:gridSpan w:val="2"/>
            <w:vMerge w:val="continue"/>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90.1</w:t>
            </w:r>
          </w:p>
        </w:tc>
        <w:tc>
          <w:tcPr>
            <w:tcW w:w="6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77.2</w:t>
            </w:r>
          </w:p>
        </w:tc>
        <w:tc>
          <w:tcPr>
            <w:tcW w:w="66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   12.9</w:t>
            </w:r>
          </w:p>
        </w:tc>
        <w:tc>
          <w:tcPr>
            <w:tcW w:w="6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$12.9 million increase in selling, general and administrative (SG&amp;A) expenses was primarily attributable to higher support costs of $11.1 million spread across all three segments mainly due to the higher employee-related costs supporting the upcoming ViaSat-2 service launch and our commercial air growth activities, as well as in support of the expansion of our international businesses. In addition, new business proposal costs increased $1.3 million driven primarily by increases in our commercial networks and government systems segments. SG&amp;A expenses consisted primarily of personnel costs and expenses for business development, marketing and sales, bid and proposal, facilities, finance, contract administration and general management.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8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080" w:type="dxa"/>
            <w:vAlign w:val="bottom"/>
            <w:vMerge w:val="restart"/>
          </w:tcPr>
          <w:p>
            <w:pPr>
              <w:spacing w:after="0"/>
              <w:rPr>
                <w:sz w:val="11"/>
                <w:szCs w:val="11"/>
                <w:color w:val="auto"/>
              </w:rPr>
            </w:pPr>
          </w:p>
        </w:tc>
        <w:tc>
          <w:tcPr>
            <w:tcW w:w="1320" w:type="dxa"/>
            <w:vAlign w:val="bottom"/>
          </w:tcPr>
          <w:p>
            <w:pPr>
              <w:spacing w:after="0"/>
              <w:rPr>
                <w:sz w:val="11"/>
                <w:szCs w:val="11"/>
                <w:color w:val="auto"/>
              </w:rPr>
            </w:pPr>
          </w:p>
        </w:tc>
        <w:tc>
          <w:tcPr>
            <w:tcW w:w="14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660" w:type="dxa"/>
            <w:vAlign w:val="bottom"/>
          </w:tcPr>
          <w:p>
            <w:pPr>
              <w:spacing w:after="0"/>
              <w:rPr>
                <w:sz w:val="11"/>
                <w:szCs w:val="11"/>
                <w:color w:val="auto"/>
              </w:rPr>
            </w:pPr>
          </w:p>
        </w:tc>
        <w:tc>
          <w:tcPr>
            <w:tcW w:w="128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7"/>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208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6"/>
              <w:spacing w:after="0" w:line="148" w:lineRule="exact"/>
              <w:rPr>
                <w:sz w:val="20"/>
                <w:szCs w:val="20"/>
                <w:color w:val="auto"/>
              </w:rPr>
            </w:pPr>
            <w:r>
              <w:rPr>
                <w:rFonts w:ascii="Arial" w:cs="Arial" w:eastAsia="Arial" w:hAnsi="Arial"/>
                <w:sz w:val="14"/>
                <w:szCs w:val="14"/>
                <w:b w:val="1"/>
                <w:bCs w:val="1"/>
                <w:color w:val="auto"/>
              </w:rPr>
              <w:t>2017</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rPr>
              <w:t>2016</w:t>
            </w:r>
          </w:p>
        </w:tc>
        <w:tc>
          <w:tcPr>
            <w:tcW w:w="660" w:type="dxa"/>
            <w:vAlign w:val="bottom"/>
          </w:tcPr>
          <w:p>
            <w:pPr>
              <w:spacing w:after="0"/>
              <w:rPr>
                <w:sz w:val="12"/>
                <w:szCs w:val="12"/>
                <w:color w:val="auto"/>
              </w:rPr>
            </w:pPr>
          </w:p>
        </w:tc>
        <w:tc>
          <w:tcPr>
            <w:tcW w:w="1280" w:type="dxa"/>
            <w:vAlign w:val="bottom"/>
            <w:gridSpan w:val="2"/>
          </w:tcPr>
          <w:p>
            <w:pPr>
              <w:jc w:val="center"/>
              <w:ind w:right="660"/>
              <w:spacing w:after="0" w:line="148" w:lineRule="exact"/>
              <w:rPr>
                <w:sz w:val="20"/>
                <w:szCs w:val="20"/>
                <w:color w:val="auto"/>
              </w:rPr>
            </w:pPr>
            <w:r>
              <w:rPr>
                <w:rFonts w:ascii="Arial" w:cs="Arial" w:eastAsia="Arial" w:hAnsi="Arial"/>
                <w:sz w:val="14"/>
                <w:szCs w:val="14"/>
                <w:b w:val="1"/>
                <w:bCs w:val="1"/>
                <w:color w:val="auto"/>
                <w:w w:val="86"/>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4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Independent research and development</w:t>
            </w:r>
          </w:p>
        </w:tc>
        <w:tc>
          <w:tcPr>
            <w:tcW w:w="13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gridSpan w:val="2"/>
            <w:vMerge w:val="continue"/>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46.3</w:t>
            </w:r>
          </w:p>
        </w:tc>
        <w:tc>
          <w:tcPr>
            <w:tcW w:w="6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30.2</w:t>
            </w:r>
          </w:p>
        </w:tc>
        <w:tc>
          <w:tcPr>
            <w:tcW w:w="66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   16.1</w:t>
            </w:r>
          </w:p>
        </w:tc>
        <w:tc>
          <w:tcPr>
            <w:tcW w:w="6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$16.1 million increase in IR&amp;D expenses was primarily the result of increased IR&amp;D efforts of $11.6 million in our commercial networks segment (primarily related to an increase in IR&amp;D efforts relating to next-generation satellite payload technologies for our ViaSat-3 class satellites) and $4.5 million in our government systems segment (primarily related to research increases in the development of next-generation dual band mobility solutions).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17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ten years. The $1.0 million increase in amortization of acquired intangible assets in the second quarter of fiscal year 2018 compared to the prior year period was primarily the result of our acquisition of Aerodocs Limited (Arconics) in November 2016. Current and expected amortization expense for acquired intangible assets for each of the following periods is as follows:</w:t>
      </w:r>
    </w:p>
    <w:p>
      <w:pPr>
        <w:spacing w:after="0" w:line="17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Amortization</w:t>
            </w:r>
          </w:p>
        </w:tc>
      </w:tr>
      <w:tr>
        <w:trPr>
          <w:trHeight w:val="142"/>
        </w:trPr>
        <w:tc>
          <w:tcPr>
            <w:tcW w:w="6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60" w:type="dxa"/>
            <w:vAlign w:val="bottom"/>
          </w:tcPr>
          <w:p>
            <w:pPr>
              <w:spacing w:after="0"/>
              <w:rPr>
                <w:sz w:val="12"/>
                <w:szCs w:val="12"/>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For the six months ended September 30, 2017</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6,580</w:t>
            </w:r>
          </w:p>
        </w:tc>
        <w:tc>
          <w:tcPr>
            <w:tcW w:w="60" w:type="dxa"/>
            <w:vAlign w:val="bottom"/>
            <w:shd w:val="clear" w:color="auto" w:fill="CCEEFF"/>
          </w:tcPr>
          <w:p>
            <w:pPr>
              <w:spacing w:after="0"/>
              <w:rPr>
                <w:sz w:val="18"/>
                <w:szCs w:val="18"/>
                <w:color w:val="auto"/>
              </w:rPr>
            </w:pPr>
          </w:p>
        </w:tc>
      </w:tr>
      <w:tr>
        <w:trPr>
          <w:trHeight w:val="322"/>
        </w:trPr>
        <w:tc>
          <w:tcPr>
            <w:tcW w:w="6860" w:type="dxa"/>
            <w:vAlign w:val="bottom"/>
          </w:tcPr>
          <w:p>
            <w:pPr>
              <w:spacing w:after="0"/>
              <w:rPr>
                <w:sz w:val="20"/>
                <w:szCs w:val="20"/>
                <w:color w:val="auto"/>
              </w:rPr>
            </w:pPr>
            <w:r>
              <w:rPr>
                <w:rFonts w:ascii="Arial" w:cs="Arial" w:eastAsia="Arial" w:hAnsi="Arial"/>
                <w:sz w:val="18"/>
                <w:szCs w:val="18"/>
                <w:color w:val="auto"/>
              </w:rPr>
              <w:t>Expected for the remainder of fiscal year 2018</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5,518</w:t>
            </w:r>
          </w:p>
        </w:tc>
        <w:tc>
          <w:tcPr>
            <w:tcW w:w="60" w:type="dxa"/>
            <w:vAlign w:val="bottom"/>
          </w:tcPr>
          <w:p>
            <w:pPr>
              <w:spacing w:after="0"/>
              <w:rPr>
                <w:sz w:val="24"/>
                <w:szCs w:val="24"/>
                <w:color w:val="auto"/>
              </w:rPr>
            </w:pPr>
          </w:p>
        </w:tc>
      </w:tr>
      <w:tr>
        <w:trPr>
          <w:trHeight w:val="218"/>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Expected for fiscal year 2020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7,593</w:t>
            </w: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2021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w:t>
            </w: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Expected for fiscal year 2022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3,362</w:t>
            </w: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60" w:type="dxa"/>
            <w:vAlign w:val="bottom"/>
            <w:shd w:val="clear" w:color="auto" w:fill="CCEEFF"/>
          </w:tcPr>
          <w:p>
            <w:pPr>
              <w:spacing w:after="0"/>
              <w:rPr>
                <w:sz w:val="18"/>
                <w:szCs w:val="18"/>
                <w:color w:val="auto"/>
              </w:rPr>
            </w:pPr>
          </w:p>
        </w:tc>
      </w:tr>
      <w:tr>
        <w:trPr>
          <w:trHeight w:val="222"/>
        </w:trPr>
        <w:tc>
          <w:tcPr>
            <w:tcW w:w="6860" w:type="dxa"/>
            <w:vAlign w:val="bottom"/>
          </w:tcPr>
          <w:p>
            <w:pPr>
              <w:spacing w:after="0"/>
              <w:rPr>
                <w:sz w:val="19"/>
                <w:szCs w:val="19"/>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36,796</w:t>
            </w:r>
          </w:p>
        </w:tc>
        <w:tc>
          <w:tcPr>
            <w:tcW w:w="6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$0.1 million decrease in interest income in the three months ended September 30, 2017 compared to the prior year period was primarily due to the effect of payments in the prior year period under the Settlement Agreement recognized as interest income.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$4.1 million decrease in interest expense in the three months ended September 30, 2017 compared to the prior year period was primarily due to an increase of $4.5 million in the amount of interest capitalized during the second quarter of fiscal year 2018 compared to the prior year period. Capitalized interest expense during the three months ended September 30, 2017 and 2016 related to the construction of our ViaSat-2 satellite and related gateway and networking equipment, construction of our ViaSat-3 class satellites and other assets.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from (provision for) income taxes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For the three months ended September 30, 2017, we recorded an income tax benefit of $11.5 million, resulting in an effective tax benefit rate of 43.9%. For the three months ended September 30, 2016, we recorded an income tax provision of $3.6 million, resulting in an effective tax rate of 25.1%. The effective tax rates for the periods differed from the U.S. statutory rate due primarily to the benefit of research and development tax credits.</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calculate our provision for income taxes at the end of each interim reporting period on the basis of an estimated annual effective tax rate adjusted for tax items that are discrete to each period. However, when a reliable estimate cannot be made, we compute our provision for income taxes using the actual effective tax rate method for the year-to-date period. For the three months ended September 30, 2016, we used the actual effective tax rate method in calculating the income tax provision for the period as a reliable estimate of the annual effective tax rate could not be made.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Three Months Ended September 30, 2017 vs. Three Months Ended September 30, 2016</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1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00" w:type="dxa"/>
            <w:vAlign w:val="bottom"/>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6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600" w:type="dxa"/>
            <w:vAlign w:val="bottom"/>
          </w:tcPr>
          <w:p>
            <w:pPr>
              <w:spacing w:after="0"/>
              <w:rPr>
                <w:sz w:val="11"/>
                <w:szCs w:val="11"/>
                <w:color w:val="auto"/>
              </w:rPr>
            </w:pPr>
          </w:p>
        </w:tc>
        <w:tc>
          <w:tcPr>
            <w:tcW w:w="1260" w:type="dxa"/>
            <w:vAlign w:val="bottom"/>
            <w:gridSpan w:val="3"/>
          </w:tcPr>
          <w:p>
            <w:pPr>
              <w:jc w:val="center"/>
              <w:ind w:right="660"/>
              <w:spacing w:after="0" w:line="12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80"/>
              <w:spacing w:after="0" w:line="148" w:lineRule="exact"/>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2"/>
                <w:szCs w:val="12"/>
                <w:color w:val="auto"/>
              </w:rPr>
            </w:pPr>
          </w:p>
        </w:tc>
        <w:tc>
          <w:tcPr>
            <w:tcW w:w="12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5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0.2</w:t>
            </w:r>
          </w:p>
        </w:tc>
        <w:tc>
          <w:tcPr>
            <w:tcW w:w="6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6.8</w:t>
            </w: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color w:val="auto"/>
                <w:w w:val="70"/>
              </w:rPr>
              <w:t>(6.6)</w:t>
            </w:r>
          </w:p>
        </w:tc>
        <w:tc>
          <w:tcPr>
            <w:tcW w:w="66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147.4</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18"/>
                <w:szCs w:val="18"/>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(2.1)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segment revenues</w:t>
            </w:r>
          </w:p>
        </w:tc>
        <w:tc>
          <w:tcPr>
            <w:tcW w:w="3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156.3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(8.7)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satellite services segment revenues decreased by $8.7 million primarily as a result of a $6.6 million decrease in product revenues and $2.1 million decrease in service revenues. The decrease in product revenues reflected the payments in the prior year period under the Settlement Agreement recognized as product revenue. As of March 31, 2017 all payments pursuant to the Settlement Agreement had been recorded and no further impacts to our consolidated financial statements are anticipated related to the Settlement Agreement. The decrease in service revenues was primarily driven by a decrease in fixed broadband services due to a decrease in total subscribers of our broadband internet services, partially offset by higher average revenue per broadband subscriber compared to the prior year period and the expansion of our in-flight services. As of September 30, 2017, 576 commercial aircraft were in service utilizing our in-flight internet services, compared to 533 commercial aircraft in service as of September 30, 2016. Total subscribers of our broadband internet services decreased year over year, with approximately 589,000 subscribers at September 30, 2017 compared to 686,000 subscribers at September 30, 2016.</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88"/>
              </w:rPr>
              <w:t>Three Months Ended</w:t>
            </w:r>
          </w:p>
        </w:tc>
        <w:tc>
          <w:tcPr>
            <w:tcW w:w="58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160" w:type="dxa"/>
            <w:vAlign w:val="bottom"/>
            <w:vMerge w:val="restart"/>
          </w:tcPr>
          <w:p>
            <w:pPr>
              <w:spacing w:after="0"/>
              <w:rPr>
                <w:sz w:val="11"/>
                <w:szCs w:val="11"/>
                <w:color w:val="auto"/>
              </w:rPr>
            </w:pPr>
          </w:p>
        </w:tc>
        <w:tc>
          <w:tcPr>
            <w:tcW w:w="15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760" w:type="dxa"/>
            <w:vAlign w:val="bottom"/>
          </w:tcPr>
          <w:p>
            <w:pPr>
              <w:spacing w:after="0"/>
              <w:rPr>
                <w:sz w:val="11"/>
                <w:szCs w:val="11"/>
                <w:color w:val="auto"/>
              </w:rPr>
            </w:pPr>
          </w:p>
        </w:tc>
        <w:tc>
          <w:tcPr>
            <w:tcW w:w="1280" w:type="dxa"/>
            <w:vAlign w:val="bottom"/>
            <w:gridSpan w:val="2"/>
          </w:tcPr>
          <w:p>
            <w:pPr>
              <w:jc w:val="center"/>
              <w:ind w:right="680"/>
              <w:spacing w:after="0" w:line="12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1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rPr>
              <w:t>2017</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ind w:right="199"/>
              <w:spacing w:after="0" w:line="148" w:lineRule="exact"/>
              <w:rPr>
                <w:sz w:val="20"/>
                <w:szCs w:val="20"/>
                <w:color w:val="auto"/>
              </w:rPr>
            </w:pPr>
            <w:r>
              <w:rPr>
                <w:rFonts w:ascii="Arial" w:cs="Arial" w:eastAsia="Arial" w:hAnsi="Arial"/>
                <w:sz w:val="14"/>
                <w:szCs w:val="14"/>
                <w:b w:val="1"/>
                <w:bCs w:val="1"/>
                <w:color w:val="auto"/>
                <w:w w:val="89"/>
              </w:rPr>
              <w:t>2016</w:t>
            </w:r>
          </w:p>
        </w:tc>
        <w:tc>
          <w:tcPr>
            <w:tcW w:w="760" w:type="dxa"/>
            <w:vAlign w:val="bottom"/>
          </w:tcPr>
          <w:p>
            <w:pPr>
              <w:spacing w:after="0"/>
              <w:rPr>
                <w:sz w:val="12"/>
                <w:szCs w:val="12"/>
                <w:color w:val="auto"/>
              </w:rPr>
            </w:pPr>
          </w:p>
        </w:tc>
        <w:tc>
          <w:tcPr>
            <w:tcW w:w="128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83"/>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51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12.6</w:t>
            </w:r>
          </w:p>
        </w:tc>
        <w:tc>
          <w:tcPr>
            <w:tcW w:w="76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260"/>
              <w:spacing w:after="0" w:line="203" w:lineRule="exact"/>
              <w:rPr>
                <w:sz w:val="20"/>
                <w:szCs w:val="20"/>
                <w:color w:val="auto"/>
              </w:rPr>
            </w:pPr>
            <w:r>
              <w:rPr>
                <w:rFonts w:ascii="Arial" w:cs="Arial" w:eastAsia="Arial" w:hAnsi="Arial"/>
                <w:sz w:val="18"/>
                <w:szCs w:val="18"/>
                <w:color w:val="auto"/>
                <w:w w:val="85"/>
              </w:rPr>
              <w:t>32.6</w:t>
            </w: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  (19.9)</w:t>
            </w:r>
          </w:p>
        </w:tc>
        <w:tc>
          <w:tcPr>
            <w:tcW w:w="68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22"/>
        </w:trPr>
        <w:tc>
          <w:tcPr>
            <w:tcW w:w="516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80" w:type="dxa"/>
            <w:vAlign w:val="bottom"/>
          </w:tcPr>
          <w:p>
            <w:pPr>
              <w:spacing w:after="0"/>
              <w:rPr>
                <w:sz w:val="19"/>
                <w:szCs w:val="19"/>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9"/>
                <w:szCs w:val="19"/>
                <w:color w:val="auto"/>
              </w:rPr>
            </w:pP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20.8%</w:t>
            </w: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The decrease in our satellite services segment operating profit was driven primarily by lower earnings contributions of $13.9 million primarily due to the decrease in product revenues resulting from the completion of payments under the Settlement Agreement during fiscal year 2017, as well as increases in cost of service revenues related to in-flight services and fixed broadband services due to the ramp up of large-scale commercial air in-flight connectivity services and preparation for the ViaSat-2 service launch. The decrease in operating profit was further impacted by higher SG&amp;A costs of $6.1 million compared to the prior year period mainly due to the higher employee-related costs supporting the upcoming ViaSat-2 service launch, as well as in support of the expansion of our international businesses.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1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00" w:type="dxa"/>
            <w:vAlign w:val="bottom"/>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6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60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80"/>
              <w:spacing w:after="0" w:line="148" w:lineRule="exact"/>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2"/>
                <w:szCs w:val="12"/>
                <w:color w:val="auto"/>
              </w:rPr>
            </w:pPr>
          </w:p>
        </w:tc>
        <w:tc>
          <w:tcPr>
            <w:tcW w:w="12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5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47.3</w:t>
            </w:r>
          </w:p>
        </w:tc>
        <w:tc>
          <w:tcPr>
            <w:tcW w:w="6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58.4</w:t>
            </w: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(11.1)</w:t>
            </w:r>
          </w:p>
        </w:tc>
        <w:tc>
          <w:tcPr>
            <w:tcW w:w="66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6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segment revenues</w:t>
            </w:r>
          </w:p>
        </w:tc>
        <w:tc>
          <w:tcPr>
            <w:tcW w:w="3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commercial networks segment revenues decreased by $9.2 million, due to an $11.1 million decrease in product revenues, offset by a $1.9 million increase in service revenues. The decrease in product revenues was primarily due to a decrease of $15.5 million in fixed satellite networks products (mainly due to a decrease in broadband terminal orders from our large-scale Australian Ka-band infrastructure project that commenced last fiscal year), partially offset by an increase of $6.2 million in mobile broadband satellite communication systems products.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89"/>
              </w:rPr>
              <w:t>Three Months Ended</w:t>
            </w:r>
          </w:p>
        </w:tc>
        <w:tc>
          <w:tcPr>
            <w:tcW w:w="58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680" w:type="dxa"/>
            <w:vAlign w:val="bottom"/>
            <w:vMerge w:val="restart"/>
          </w:tcPr>
          <w:p>
            <w:pPr>
              <w:spacing w:after="0"/>
              <w:rPr>
                <w:sz w:val="11"/>
                <w:szCs w:val="11"/>
                <w:color w:val="auto"/>
              </w:rPr>
            </w:pPr>
          </w:p>
        </w:tc>
        <w:tc>
          <w:tcPr>
            <w:tcW w:w="1420" w:type="dxa"/>
            <w:vAlign w:val="bottom"/>
          </w:tcPr>
          <w:p>
            <w:pPr>
              <w:spacing w:after="0"/>
              <w:rPr>
                <w:sz w:val="11"/>
                <w:szCs w:val="11"/>
                <w:color w:val="auto"/>
              </w:rPr>
            </w:pPr>
          </w:p>
        </w:tc>
        <w:tc>
          <w:tcPr>
            <w:tcW w:w="16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7"/>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rPr>
              <w:t>2017</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ind w:right="199"/>
              <w:spacing w:after="0" w:line="148" w:lineRule="exact"/>
              <w:rPr>
                <w:sz w:val="20"/>
                <w:szCs w:val="20"/>
                <w:color w:val="auto"/>
              </w:rPr>
            </w:pPr>
            <w:r>
              <w:rPr>
                <w:rFonts w:ascii="Arial" w:cs="Arial" w:eastAsia="Arial" w:hAnsi="Arial"/>
                <w:sz w:val="14"/>
                <w:szCs w:val="14"/>
                <w:b w:val="1"/>
                <w:bCs w:val="1"/>
                <w:color w:val="auto"/>
                <w:w w:val="89"/>
              </w:rPr>
              <w:t>2016</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83"/>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36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14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80" w:type="dxa"/>
            <w:vAlign w:val="bottom"/>
            <w:gridSpan w:val="2"/>
            <w:vMerge w:val="continue"/>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40"/>
              <w:spacing w:after="0" w:line="203" w:lineRule="exact"/>
              <w:rPr>
                <w:sz w:val="20"/>
                <w:szCs w:val="20"/>
                <w:color w:val="auto"/>
              </w:rPr>
            </w:pPr>
            <w:r>
              <w:rPr>
                <w:rFonts w:ascii="Arial" w:cs="Arial" w:eastAsia="Arial" w:hAnsi="Arial"/>
                <w:sz w:val="18"/>
                <w:szCs w:val="18"/>
                <w:color w:val="auto"/>
              </w:rPr>
              <w:t>(59.4)</w:t>
            </w: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220"/>
              <w:spacing w:after="0" w:line="203" w:lineRule="exact"/>
              <w:rPr>
                <w:sz w:val="20"/>
                <w:szCs w:val="20"/>
                <w:color w:val="auto"/>
              </w:rPr>
            </w:pPr>
            <w:r>
              <w:rPr>
                <w:rFonts w:ascii="Arial" w:cs="Arial" w:eastAsia="Arial" w:hAnsi="Arial"/>
                <w:sz w:val="18"/>
                <w:szCs w:val="18"/>
                <w:color w:val="auto"/>
              </w:rPr>
              <w:t>(40.9)</w:t>
            </w:r>
          </w:p>
        </w:tc>
        <w:tc>
          <w:tcPr>
            <w:tcW w:w="30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  (18.5)</w:t>
            </w:r>
          </w:p>
        </w:tc>
        <w:tc>
          <w:tcPr>
            <w:tcW w:w="66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22"/>
        </w:trPr>
        <w:tc>
          <w:tcPr>
            <w:tcW w:w="368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(105.5)%</w:t>
            </w:r>
          </w:p>
        </w:tc>
        <w:tc>
          <w:tcPr>
            <w:tcW w:w="240" w:type="dxa"/>
            <w:vAlign w:val="bottom"/>
          </w:tcPr>
          <w:p>
            <w:pPr>
              <w:spacing w:after="0"/>
              <w:rPr>
                <w:sz w:val="19"/>
                <w:szCs w:val="19"/>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(62.4)%</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$18.5 million increase in our commercial networks segment operating loss was driven primarily by an $11.6 million increase in IR&amp;D expenses (primarily due to an increase in IR&amp;D efforts relating to next-generation satellite payload technologies for our ViaSat-3 class satellites), $3.7 million increase in overall SG&amp;A costs (primarily due to the higher employee-related costs supporting our commercial air growth activities) and lower earnings contributions of $3.2 million (primarily due to lower revenues in fixed satellite network products).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1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00" w:type="dxa"/>
            <w:vAlign w:val="bottom"/>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6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60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80"/>
              <w:spacing w:after="0" w:line="148" w:lineRule="exact"/>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2"/>
                <w:szCs w:val="12"/>
                <w:color w:val="auto"/>
              </w:rPr>
            </w:pPr>
          </w:p>
        </w:tc>
        <w:tc>
          <w:tcPr>
            <w:tcW w:w="12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5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134.2</w:t>
            </w:r>
          </w:p>
        </w:tc>
        <w:tc>
          <w:tcPr>
            <w:tcW w:w="6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122.0</w:t>
            </w: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12.2</w:t>
            </w:r>
          </w:p>
        </w:tc>
        <w:tc>
          <w:tcPr>
            <w:tcW w:w="6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(0.4)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segment revenues</w:t>
            </w:r>
          </w:p>
        </w:tc>
        <w:tc>
          <w:tcPr>
            <w:tcW w:w="3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177.4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government systems segment revenues increased by $11.8 million due to an increase of $12.2 million in product revenues, slightly offset by a decrease of $0.4 million in service revenues. The product revenue increase was primarily due to a $4.8 million increase in tactical data link products, a $4.5 million increase in global mobile broadband products and a $4.1 million increase in tactical satcom radio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89"/>
              </w:rPr>
              <w:t>Three Months Ended</w:t>
            </w:r>
          </w:p>
        </w:tc>
        <w:tc>
          <w:tcPr>
            <w:tcW w:w="56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260" w:type="dxa"/>
            <w:vAlign w:val="bottom"/>
            <w:vMerge w:val="restart"/>
          </w:tcPr>
          <w:p>
            <w:pPr>
              <w:spacing w:after="0"/>
              <w:rPr>
                <w:sz w:val="11"/>
                <w:szCs w:val="11"/>
                <w:color w:val="auto"/>
              </w:rPr>
            </w:pPr>
          </w:p>
        </w:tc>
        <w:tc>
          <w:tcPr>
            <w:tcW w:w="15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760" w:type="dxa"/>
            <w:vAlign w:val="bottom"/>
          </w:tcPr>
          <w:p>
            <w:pPr>
              <w:spacing w:after="0"/>
              <w:rPr>
                <w:sz w:val="11"/>
                <w:szCs w:val="11"/>
                <w:color w:val="auto"/>
              </w:rPr>
            </w:pPr>
          </w:p>
        </w:tc>
        <w:tc>
          <w:tcPr>
            <w:tcW w:w="1220" w:type="dxa"/>
            <w:vAlign w:val="bottom"/>
            <w:gridSpan w:val="3"/>
          </w:tcPr>
          <w:p>
            <w:pPr>
              <w:jc w:val="center"/>
              <w:ind w:right="620"/>
              <w:spacing w:after="0" w:line="12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2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rPr>
              <w:t>2017</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ind w:right="199"/>
              <w:spacing w:after="0" w:line="148" w:lineRule="exact"/>
              <w:rPr>
                <w:sz w:val="20"/>
                <w:szCs w:val="20"/>
                <w:color w:val="auto"/>
              </w:rPr>
            </w:pPr>
            <w:r>
              <w:rPr>
                <w:rFonts w:ascii="Arial" w:cs="Arial" w:eastAsia="Arial" w:hAnsi="Arial"/>
                <w:sz w:val="14"/>
                <w:szCs w:val="14"/>
                <w:b w:val="1"/>
                <w:bCs w:val="1"/>
                <w:color w:val="auto"/>
                <w:w w:val="83"/>
              </w:rPr>
              <w:t>2016</w:t>
            </w:r>
          </w:p>
        </w:tc>
        <w:tc>
          <w:tcPr>
            <w:tcW w:w="760" w:type="dxa"/>
            <w:vAlign w:val="bottom"/>
          </w:tcPr>
          <w:p>
            <w:pPr>
              <w:spacing w:after="0"/>
              <w:rPr>
                <w:sz w:val="12"/>
                <w:szCs w:val="12"/>
                <w:color w:val="auto"/>
              </w:rPr>
            </w:pPr>
          </w:p>
        </w:tc>
        <w:tc>
          <w:tcPr>
            <w:tcW w:w="1220" w:type="dxa"/>
            <w:vAlign w:val="bottom"/>
            <w:gridSpan w:val="3"/>
          </w:tcPr>
          <w:p>
            <w:pPr>
              <w:jc w:val="center"/>
              <w:ind w:right="62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52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w w:val="79"/>
              </w:rPr>
              <w:t>34.2</w:t>
            </w:r>
          </w:p>
        </w:tc>
        <w:tc>
          <w:tcPr>
            <w:tcW w:w="76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60"/>
              <w:spacing w:after="0" w:line="203" w:lineRule="exact"/>
              <w:rPr>
                <w:sz w:val="20"/>
                <w:szCs w:val="20"/>
                <w:color w:val="auto"/>
              </w:rPr>
            </w:pPr>
            <w:r>
              <w:rPr>
                <w:rFonts w:ascii="Arial" w:cs="Arial" w:eastAsia="Arial" w:hAnsi="Arial"/>
                <w:sz w:val="18"/>
                <w:szCs w:val="18"/>
                <w:color w:val="auto"/>
                <w:w w:val="79"/>
              </w:rPr>
              <w:t>29.0</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5.2</w:t>
            </w:r>
          </w:p>
        </w:tc>
        <w:tc>
          <w:tcPr>
            <w:tcW w:w="6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2"/>
        </w:trPr>
        <w:tc>
          <w:tcPr>
            <w:tcW w:w="526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80" w:type="dxa"/>
            <w:vAlign w:val="bottom"/>
          </w:tcPr>
          <w:p>
            <w:pPr>
              <w:spacing w:after="0"/>
              <w:rPr>
                <w:sz w:val="19"/>
                <w:szCs w:val="19"/>
                <w:color w:val="auto"/>
              </w:rPr>
            </w:pPr>
          </w:p>
        </w:tc>
        <w:tc>
          <w:tcPr>
            <w:tcW w:w="1400" w:type="dxa"/>
            <w:vAlign w:val="bottom"/>
            <w:gridSpan w:val="2"/>
          </w:tcPr>
          <w:p>
            <w:pPr>
              <w:ind w:left="340"/>
              <w:spacing w:after="0"/>
              <w:rPr>
                <w:sz w:val="20"/>
                <w:szCs w:val="20"/>
                <w:color w:val="auto"/>
              </w:rPr>
            </w:pPr>
            <w:r>
              <w:rPr>
                <w:rFonts w:ascii="Arial" w:cs="Arial" w:eastAsia="Arial" w:hAnsi="Arial"/>
                <w:sz w:val="18"/>
                <w:szCs w:val="18"/>
                <w:color w:val="auto"/>
              </w:rPr>
              <w:t>18.1%</w:t>
            </w:r>
          </w:p>
        </w:tc>
        <w:tc>
          <w:tcPr>
            <w:tcW w:w="260" w:type="dxa"/>
            <w:vAlign w:val="bottom"/>
          </w:tcPr>
          <w:p>
            <w:pPr>
              <w:spacing w:after="0"/>
              <w:rPr>
                <w:sz w:val="19"/>
                <w:szCs w:val="19"/>
                <w:color w:val="auto"/>
              </w:rPr>
            </w:pPr>
          </w:p>
        </w:tc>
        <w:tc>
          <w:tcPr>
            <w:tcW w:w="1320" w:type="dxa"/>
            <w:vAlign w:val="bottom"/>
            <w:gridSpan w:val="2"/>
          </w:tcPr>
          <w:p>
            <w:pPr>
              <w:ind w:left="26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$5.2 million increase in our government systems segment operating profit reflected higher earnings contributions of $12.8 million primarily due to higher revenues in our tactical data links products and global mobile broadband products, coupled with improved margins in global mobile broadband products. This operating profit increase was partially offset by higher IR&amp;D costs of $4.5 million (primarily related to research increases in the development of next-generation dual band mobility solutions) and higher SG&amp;A costs of $3.1 million.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320"/>
        <w:spacing w:after="0" w:line="369" w:lineRule="auto"/>
        <w:rPr>
          <w:sz w:val="20"/>
          <w:szCs w:val="20"/>
          <w:color w:val="auto"/>
        </w:rPr>
      </w:pPr>
      <w:r>
        <w:rPr>
          <w:rFonts w:ascii="Arial" w:cs="Arial" w:eastAsia="Arial" w:hAnsi="Arial"/>
          <w:sz w:val="18"/>
          <w:szCs w:val="18"/>
          <w:b w:val="1"/>
          <w:bCs w:val="1"/>
          <w:color w:val="auto"/>
        </w:rPr>
        <w:t xml:space="preserve">Six Months Ended September 30, 2017 vs. Six Months Ended September 30, 2016 </w:t>
      </w:r>
      <w:r>
        <w:rPr>
          <w:rFonts w:ascii="Arial" w:cs="Arial" w:eastAsia="Arial" w:hAnsi="Arial"/>
          <w:sz w:val="18"/>
          <w:szCs w:val="18"/>
          <w:i w:val="1"/>
          <w:iCs w:val="1"/>
          <w:color w:val="auto"/>
        </w:rPr>
        <w:t>Revenues</w:t>
      </w:r>
    </w:p>
    <w:p>
      <w:pPr>
        <w:spacing w:after="0" w:line="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5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600" w:type="dxa"/>
            <w:vAlign w:val="bottom"/>
          </w:tcPr>
          <w:p>
            <w:pPr>
              <w:spacing w:after="0"/>
              <w:rPr>
                <w:sz w:val="14"/>
                <w:szCs w:val="14"/>
                <w:color w:val="auto"/>
              </w:rPr>
            </w:pPr>
          </w:p>
        </w:tc>
        <w:tc>
          <w:tcPr>
            <w:tcW w:w="860" w:type="dxa"/>
            <w:vAlign w:val="bottom"/>
            <w:gridSpan w:val="2"/>
          </w:tcPr>
          <w:p>
            <w:pPr>
              <w:jc w:val="center"/>
              <w:ind w:right="92"/>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80" w:type="dxa"/>
            <w:vAlign w:val="bottom"/>
          </w:tcPr>
          <w:p>
            <w:pPr>
              <w:spacing w:after="0"/>
              <w:rPr>
                <w:sz w:val="11"/>
                <w:szCs w:val="11"/>
                <w:color w:val="auto"/>
              </w:rPr>
            </w:pPr>
          </w:p>
        </w:tc>
        <w:tc>
          <w:tcPr>
            <w:tcW w:w="1420" w:type="dxa"/>
            <w:vAlign w:val="bottom"/>
            <w:gridSpan w:val="3"/>
          </w:tcPr>
          <w:p>
            <w:pPr>
              <w:jc w:val="right"/>
              <w:ind w:right="60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8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Increase</w:t>
            </w:r>
          </w:p>
        </w:tc>
        <w:tc>
          <w:tcPr>
            <w:tcW w:w="600" w:type="dxa"/>
            <w:vAlign w:val="bottom"/>
          </w:tcPr>
          <w:p>
            <w:pPr>
              <w:spacing w:after="0"/>
              <w:rPr>
                <w:sz w:val="11"/>
                <w:szCs w:val="11"/>
                <w:color w:val="auto"/>
              </w:rPr>
            </w:pPr>
          </w:p>
        </w:tc>
        <w:tc>
          <w:tcPr>
            <w:tcW w:w="860" w:type="dxa"/>
            <w:vAlign w:val="bottom"/>
            <w:gridSpan w:val="2"/>
          </w:tcPr>
          <w:p>
            <w:pPr>
              <w:jc w:val="center"/>
              <w:ind w:right="92"/>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68"/>
        </w:trPr>
        <w:tc>
          <w:tcPr>
            <w:tcW w:w="2000" w:type="dxa"/>
            <w:vAlign w:val="bottom"/>
            <w:gridSpan w:val="2"/>
            <w:vMerge w:val="continue"/>
          </w:tcPr>
          <w:p>
            <w:pPr>
              <w:spacing w:after="0"/>
              <w:rPr>
                <w:sz w:val="14"/>
                <w:szCs w:val="14"/>
                <w:color w:val="auto"/>
              </w:rPr>
            </w:pPr>
          </w:p>
        </w:tc>
        <w:tc>
          <w:tcPr>
            <w:tcW w:w="3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200"/>
              <w:spacing w:after="0" w:line="148" w:lineRule="exact"/>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w w:val="83"/>
              </w:rPr>
              <w:t>2016</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0"/>
              </w:rPr>
              <w:t>(Decrease)</w:t>
            </w:r>
          </w:p>
        </w:tc>
        <w:tc>
          <w:tcPr>
            <w:tcW w:w="600" w:type="dxa"/>
            <w:vAlign w:val="bottom"/>
          </w:tcPr>
          <w:p>
            <w:pPr>
              <w:spacing w:after="0"/>
              <w:rPr>
                <w:sz w:val="14"/>
                <w:szCs w:val="14"/>
                <w:color w:val="auto"/>
              </w:rPr>
            </w:pPr>
          </w:p>
        </w:tc>
        <w:tc>
          <w:tcPr>
            <w:tcW w:w="860" w:type="dxa"/>
            <w:vAlign w:val="bottom"/>
            <w:gridSpan w:val="2"/>
          </w:tcPr>
          <w:p>
            <w:pPr>
              <w:jc w:val="center"/>
              <w:ind w:right="92"/>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Product revenues</w:t>
            </w:r>
          </w:p>
        </w:tc>
        <w:tc>
          <w:tcPr>
            <w:tcW w:w="3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347.9</w:t>
            </w:r>
          </w:p>
        </w:tc>
        <w:tc>
          <w:tcPr>
            <w:tcW w:w="6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9"/>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347.9</w:t>
            </w: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40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Service revenues</w:t>
            </w: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425.2</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414.4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10.8</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7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773.1</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762.3</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Our total revenues grew by $10.8 million as a result of a $10.8 million increase in service revenues. The service revenue increase was driven by increases of $4.2 million in our satellite services segment, $3.7 million in our commercial networks segment and $3.0 million in our government systems segment.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56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00" w:type="dxa"/>
            <w:vAlign w:val="bottom"/>
          </w:tcPr>
          <w:p>
            <w:pPr>
              <w:spacing w:after="0"/>
              <w:rPr>
                <w:sz w:val="11"/>
                <w:szCs w:val="11"/>
                <w:color w:val="auto"/>
              </w:rPr>
            </w:pPr>
          </w:p>
        </w:tc>
        <w:tc>
          <w:tcPr>
            <w:tcW w:w="8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600" w:type="dxa"/>
            <w:vAlign w:val="bottom"/>
          </w:tcPr>
          <w:p>
            <w:pPr>
              <w:spacing w:after="0"/>
              <w:rPr>
                <w:sz w:val="11"/>
                <w:szCs w:val="11"/>
                <w:color w:val="auto"/>
              </w:rPr>
            </w:pPr>
          </w:p>
        </w:tc>
        <w:tc>
          <w:tcPr>
            <w:tcW w:w="8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60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80"/>
              <w:spacing w:after="0" w:line="148" w:lineRule="exact"/>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w w:val="83"/>
              </w:rPr>
              <w:t>2016</w:t>
            </w:r>
          </w:p>
        </w:tc>
        <w:tc>
          <w:tcPr>
            <w:tcW w:w="600" w:type="dxa"/>
            <w:vAlign w:val="bottom"/>
          </w:tcPr>
          <w:p>
            <w:pPr>
              <w:spacing w:after="0"/>
              <w:rPr>
                <w:sz w:val="12"/>
                <w:szCs w:val="12"/>
                <w:color w:val="auto"/>
              </w:rPr>
            </w:pPr>
          </w:p>
        </w:tc>
        <w:tc>
          <w:tcPr>
            <w:tcW w:w="12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7"/>
              </w:rPr>
              <w:t>Cost of product revenues</w:t>
            </w:r>
          </w:p>
        </w:tc>
        <w:tc>
          <w:tcPr>
            <w:tcW w:w="35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256.5</w:t>
            </w:r>
          </w:p>
        </w:tc>
        <w:tc>
          <w:tcPr>
            <w:tcW w:w="60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257.5</w:t>
            </w: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w:t>
            </w:r>
          </w:p>
        </w:tc>
        <w:tc>
          <w:tcPr>
            <w:tcW w:w="66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8"/>
              </w:rPr>
              <w:t>Cost of service revenues</w:t>
            </w:r>
          </w:p>
        </w:tc>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273.3</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261.8</w:t>
            </w: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11.4</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35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519.3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Cost of revenues increased by $10.4 million due to an increase of $11.4 million in cost of service revenues, partially offset by a decrease of $1.0 million in cost of product revenues. The cost of service revenue increase was primarily due to increased service revenues, which generated a $6.8 million increase in cost of service revenues on a constant margin basis. This cost of service revenue increase mainly related to in-flight services in our satellite services segment, fixed satellite networks services in our commercial networks segment and government satellite communication systems services in our government systems segment, coupled with lower margins for in-flight services and Exede broadband services in our satellite services segment due to the ramp up of large-scale commercial air in-flight connectivity services and preparation for the ViaSat-2 service launch. The cost of product revenue decrease was due to improved margins in global mobile broadband products in our government systems segment.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88"/>
              </w:rPr>
              <w:t>Six Months Ended</w:t>
            </w:r>
          </w:p>
        </w:tc>
        <w:tc>
          <w:tcPr>
            <w:tcW w:w="5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80" w:type="dxa"/>
            <w:vAlign w:val="bottom"/>
            <w:vMerge w:val="restart"/>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6"/>
              <w:spacing w:after="0" w:line="148" w:lineRule="exact"/>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w w:val="83"/>
              </w:rPr>
              <w:t>2016</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55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179.3</w:t>
            </w:r>
          </w:p>
        </w:tc>
        <w:tc>
          <w:tcPr>
            <w:tcW w:w="60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156.6</w:t>
            </w:r>
          </w:p>
        </w:tc>
        <w:tc>
          <w:tcPr>
            <w:tcW w:w="3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22.6</w:t>
            </w:r>
          </w:p>
        </w:tc>
        <w:tc>
          <w:tcPr>
            <w:tcW w:w="60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The $22.6 million increase in SG&amp;A expenses was primarily attributable to higher support costs of $21.7 million spread across all three segments mainly due to the higher employee-related costs supporting the upcoming ViaSat-2 service launch and our commercial air growth activities, as well as in support of the expansion of our international businesses. SG&amp;A expenses consisted primarily of personnel costs and expenses for business development, marketing and sales, bid and proposal, facilities, finance, contract administration and general management.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88"/>
              </w:rPr>
              <w:t>Six Months Ended</w:t>
            </w:r>
          </w:p>
        </w:tc>
        <w:tc>
          <w:tcPr>
            <w:tcW w:w="5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080" w:type="dxa"/>
            <w:vAlign w:val="bottom"/>
            <w:vMerge w:val="restart"/>
          </w:tcPr>
          <w:p>
            <w:pPr>
              <w:spacing w:after="0"/>
              <w:rPr>
                <w:sz w:val="11"/>
                <w:szCs w:val="11"/>
                <w:color w:val="auto"/>
              </w:rPr>
            </w:pPr>
          </w:p>
        </w:tc>
        <w:tc>
          <w:tcPr>
            <w:tcW w:w="1320" w:type="dxa"/>
            <w:vAlign w:val="bottom"/>
          </w:tcPr>
          <w:p>
            <w:pPr>
              <w:spacing w:after="0"/>
              <w:rPr>
                <w:sz w:val="11"/>
                <w:szCs w:val="11"/>
                <w:color w:val="auto"/>
              </w:rPr>
            </w:pPr>
          </w:p>
        </w:tc>
        <w:tc>
          <w:tcPr>
            <w:tcW w:w="14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660" w:type="dxa"/>
            <w:vAlign w:val="bottom"/>
          </w:tcPr>
          <w:p>
            <w:pPr>
              <w:spacing w:after="0"/>
              <w:rPr>
                <w:sz w:val="11"/>
                <w:szCs w:val="11"/>
                <w:color w:val="auto"/>
              </w:rPr>
            </w:pPr>
          </w:p>
        </w:tc>
        <w:tc>
          <w:tcPr>
            <w:tcW w:w="128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7"/>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208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6"/>
              <w:spacing w:after="0" w:line="148" w:lineRule="exact"/>
              <w:rPr>
                <w:sz w:val="20"/>
                <w:szCs w:val="20"/>
                <w:color w:val="auto"/>
              </w:rPr>
            </w:pPr>
            <w:r>
              <w:rPr>
                <w:rFonts w:ascii="Arial" w:cs="Arial" w:eastAsia="Arial" w:hAnsi="Arial"/>
                <w:sz w:val="14"/>
                <w:szCs w:val="14"/>
                <w:b w:val="1"/>
                <w:bCs w:val="1"/>
                <w:color w:val="auto"/>
              </w:rPr>
              <w:t>2017</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w w:val="89"/>
              </w:rPr>
              <w:t>2016</w:t>
            </w:r>
          </w:p>
        </w:tc>
        <w:tc>
          <w:tcPr>
            <w:tcW w:w="660" w:type="dxa"/>
            <w:vAlign w:val="bottom"/>
          </w:tcPr>
          <w:p>
            <w:pPr>
              <w:spacing w:after="0"/>
              <w:rPr>
                <w:sz w:val="12"/>
                <w:szCs w:val="12"/>
                <w:color w:val="auto"/>
              </w:rPr>
            </w:pPr>
          </w:p>
        </w:tc>
        <w:tc>
          <w:tcPr>
            <w:tcW w:w="1280" w:type="dxa"/>
            <w:vAlign w:val="bottom"/>
            <w:gridSpan w:val="2"/>
          </w:tcPr>
          <w:p>
            <w:pPr>
              <w:jc w:val="center"/>
              <w:ind w:right="660"/>
              <w:spacing w:after="0" w:line="148" w:lineRule="exact"/>
              <w:rPr>
                <w:sz w:val="20"/>
                <w:szCs w:val="20"/>
                <w:color w:val="auto"/>
              </w:rPr>
            </w:pPr>
            <w:r>
              <w:rPr>
                <w:rFonts w:ascii="Arial" w:cs="Arial" w:eastAsia="Arial" w:hAnsi="Arial"/>
                <w:sz w:val="14"/>
                <w:szCs w:val="14"/>
                <w:b w:val="1"/>
                <w:bCs w:val="1"/>
                <w:color w:val="auto"/>
                <w:w w:val="86"/>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4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Independent research and development</w:t>
            </w:r>
          </w:p>
        </w:tc>
        <w:tc>
          <w:tcPr>
            <w:tcW w:w="13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gridSpan w:val="2"/>
            <w:vMerge w:val="continue"/>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91.3</w:t>
            </w:r>
          </w:p>
        </w:tc>
        <w:tc>
          <w:tcPr>
            <w:tcW w:w="66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55.4</w:t>
            </w:r>
          </w:p>
        </w:tc>
        <w:tc>
          <w:tcPr>
            <w:tcW w:w="66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   36.0</w:t>
            </w:r>
          </w:p>
        </w:tc>
        <w:tc>
          <w:tcPr>
            <w:tcW w:w="6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$36.0 million increase in IR&amp;D expenses was primarily the result of increased IR&amp;D efforts of $26.6 million in our commercial networks segment (primarily related to an increase in IR&amp;D efforts relating to next-generation satellite payload technologies for our ViaSat-3 class satellites and mobile broadband satellite communication systems for commercial airline platforms) and $9.4 million in our government systems segment (primarily related to research increases in the development of next-generation dual band mobility solutions).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ten years. The $1.8 million increase in amortization of acquired intangible assets in the first six months of fiscal year 2018 compared to the prior year period was primarily the result of our acquisition of Arconics in November 2016. Current and expected amortization expense for acquired intangible assets for each of the following periods is as follows:</w:t>
      </w:r>
    </w:p>
    <w:p>
      <w:pPr>
        <w:spacing w:after="0" w:line="17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Amortization</w:t>
            </w:r>
          </w:p>
        </w:tc>
      </w:tr>
      <w:tr>
        <w:trPr>
          <w:trHeight w:val="142"/>
        </w:trPr>
        <w:tc>
          <w:tcPr>
            <w:tcW w:w="6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60" w:type="dxa"/>
            <w:vAlign w:val="bottom"/>
          </w:tcPr>
          <w:p>
            <w:pPr>
              <w:spacing w:after="0"/>
              <w:rPr>
                <w:sz w:val="12"/>
                <w:szCs w:val="12"/>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For the six months ended September 30, 2017</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6,580</w:t>
            </w:r>
          </w:p>
        </w:tc>
        <w:tc>
          <w:tcPr>
            <w:tcW w:w="60" w:type="dxa"/>
            <w:vAlign w:val="bottom"/>
            <w:shd w:val="clear" w:color="auto" w:fill="CCEEFF"/>
          </w:tcPr>
          <w:p>
            <w:pPr>
              <w:spacing w:after="0"/>
              <w:rPr>
                <w:sz w:val="18"/>
                <w:szCs w:val="18"/>
                <w:color w:val="auto"/>
              </w:rPr>
            </w:pPr>
          </w:p>
        </w:tc>
      </w:tr>
      <w:tr>
        <w:trPr>
          <w:trHeight w:val="322"/>
        </w:trPr>
        <w:tc>
          <w:tcPr>
            <w:tcW w:w="6860" w:type="dxa"/>
            <w:vAlign w:val="bottom"/>
          </w:tcPr>
          <w:p>
            <w:pPr>
              <w:spacing w:after="0"/>
              <w:rPr>
                <w:sz w:val="20"/>
                <w:szCs w:val="20"/>
                <w:color w:val="auto"/>
              </w:rPr>
            </w:pPr>
            <w:r>
              <w:rPr>
                <w:rFonts w:ascii="Arial" w:cs="Arial" w:eastAsia="Arial" w:hAnsi="Arial"/>
                <w:sz w:val="18"/>
                <w:szCs w:val="18"/>
                <w:color w:val="auto"/>
              </w:rPr>
              <w:t>Expected for the remainder of fiscal year 2018</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5,518</w:t>
            </w:r>
          </w:p>
        </w:tc>
        <w:tc>
          <w:tcPr>
            <w:tcW w:w="60" w:type="dxa"/>
            <w:vAlign w:val="bottom"/>
          </w:tcPr>
          <w:p>
            <w:pPr>
              <w:spacing w:after="0"/>
              <w:rPr>
                <w:sz w:val="24"/>
                <w:szCs w:val="24"/>
                <w:color w:val="auto"/>
              </w:rPr>
            </w:pPr>
          </w:p>
        </w:tc>
      </w:tr>
      <w:tr>
        <w:trPr>
          <w:trHeight w:val="218"/>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Expected for fiscal year 2020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7,593</w:t>
            </w: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2021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w:t>
            </w:r>
          </w:p>
        </w:tc>
        <w:tc>
          <w:tcPr>
            <w:tcW w:w="6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Expected for fiscal year 2022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3,362</w:t>
            </w:r>
          </w:p>
        </w:tc>
        <w:tc>
          <w:tcPr>
            <w:tcW w:w="6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60" w:type="dxa"/>
            <w:vAlign w:val="bottom"/>
            <w:shd w:val="clear" w:color="auto" w:fill="CCEEFF"/>
          </w:tcPr>
          <w:p>
            <w:pPr>
              <w:spacing w:after="0"/>
              <w:rPr>
                <w:sz w:val="18"/>
                <w:szCs w:val="18"/>
                <w:color w:val="auto"/>
              </w:rPr>
            </w:pPr>
          </w:p>
        </w:tc>
      </w:tr>
      <w:tr>
        <w:trPr>
          <w:trHeight w:val="222"/>
        </w:trPr>
        <w:tc>
          <w:tcPr>
            <w:tcW w:w="6860" w:type="dxa"/>
            <w:vAlign w:val="bottom"/>
          </w:tcPr>
          <w:p>
            <w:pPr>
              <w:spacing w:after="0"/>
              <w:rPr>
                <w:sz w:val="19"/>
                <w:szCs w:val="19"/>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36,796</w:t>
            </w:r>
          </w:p>
        </w:tc>
        <w:tc>
          <w:tcPr>
            <w:tcW w:w="6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$0.3 million decrease in interest income in the six months ended September 30, 2017 compared to the prior year period was primarily due to the effect of payments in the prior year period under the Settlement Agreement recognized as interest income.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$9.2 million decrease in interest expense in the six months ended September 30, 2017 compared to the prior year period was primarily due to an increase of $8.9 million in the amount of interest capitalized during the first six months of fiscal year 2018 compared to the prior year period. Capitalized interest expense during the six months ended September 30, 2017 and 2016 related to the construction of our ViaSat-2 satellite and related gateway and networking equipment, construction of our ViaSat-3 class satellites and other assets.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from (provision for) income taxes</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For the six months ended September 30, 2017, we recorded an income tax benefit of $20.6 million, resulting in an effective tax benefit rate of 46.9%. For the six months ended September 30, 2016, we recorded an income tax provision of $4.4 million, resulting in an effective tax rate of 25.5%. The effective tax rates for the periods differed from the U.S. statutory rate due primarily to the benefit of research and development tax credits. The effective tax rate for the six months ended September 30, 2016 also reflects an increase in valuation allowances on state net operating losses and state research and development tax credits.</w:t>
      </w:r>
    </w:p>
    <w:p>
      <w:pPr>
        <w:spacing w:after="0" w:line="9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calculate our provision for income taxes at the end of each interim reporting period on the basis of an estimated annual effective tax rate adjusted for tax items that are discrete to each period. However, when a reliable estimate cannot be made, we compute our provision for income taxes using the actual effective tax rate method for the year-to-date period. For the six months ended September 30, 2016, we used the actual effective tax rate method in calculating the income tax provision for the period as a reliable estimate of the annual effective tax rate could not be made.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Six Months Ended September 30, 2017 vs. Six Months Ended September 30, 2016</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w w:val="87"/>
              </w:rPr>
              <w:t>Six Months Ended</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460" w:type="dxa"/>
            <w:vAlign w:val="bottom"/>
          </w:tcPr>
          <w:p>
            <w:pPr>
              <w:spacing w:after="0"/>
              <w:rPr>
                <w:sz w:val="11"/>
                <w:szCs w:val="11"/>
                <w:color w:val="auto"/>
              </w:rPr>
            </w:pPr>
          </w:p>
        </w:tc>
        <w:tc>
          <w:tcPr>
            <w:tcW w:w="1140" w:type="dxa"/>
            <w:vAlign w:val="bottom"/>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3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80"/>
              <w:spacing w:after="0" w:line="148"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w w:val="89"/>
              </w:rPr>
              <w:t>2016</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4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4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0.4</w:t>
            </w:r>
          </w:p>
        </w:tc>
        <w:tc>
          <w:tcPr>
            <w:tcW w:w="3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13.5</w:t>
            </w:r>
          </w:p>
        </w:tc>
        <w:tc>
          <w:tcPr>
            <w:tcW w:w="30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(13.0)</w:t>
            </w:r>
          </w:p>
        </w:tc>
        <w:tc>
          <w:tcPr>
            <w:tcW w:w="66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299.4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295.2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4.2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segment revenues</w:t>
            </w:r>
          </w:p>
        </w:tc>
        <w:tc>
          <w:tcPr>
            <w:tcW w:w="34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299.8</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308.7</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satellite services segment revenues decreased by $8.9 million primarily as a result of a $13.0 million decrease in product revenues, partially offset by a $4.2 million increase in service revenues. The decrease in product revenues reflected the payments in the prior year period under the Settlement Agreement recognized as product revenue. As of March 31, 2017 all payments pursuant to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Settlement Agreement had been recorded and no further impacts to our consolidated financial statements are anticipated related to the Settlement Agreement. The increase in service revenues was primarily driven by expansion of our in-flight services, partially offset by a decrease in our fixed broadband services due to a decrease in the overall number of residential subscribers. As of September 30, 2017, 576 commercial aircraft were in service utilizing our in-flight internet services, compared to 533 commercial aircraft in service as of September 30, 2016. Total subscribers of our broadband internet services decreased year over year, with approximately 589,000 subscribers at September 30, 2017 compared to 686,000 subscribers at September 30, 2016.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0"/>
              </w:rPr>
              <w:t>Six Months Ended</w:t>
            </w:r>
          </w:p>
        </w:tc>
        <w:tc>
          <w:tcPr>
            <w:tcW w:w="62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160" w:type="dxa"/>
            <w:vAlign w:val="bottom"/>
            <w:vMerge w:val="restart"/>
          </w:tcPr>
          <w:p>
            <w:pPr>
              <w:spacing w:after="0"/>
              <w:rPr>
                <w:sz w:val="11"/>
                <w:szCs w:val="11"/>
                <w:color w:val="auto"/>
              </w:rPr>
            </w:pPr>
          </w:p>
        </w:tc>
        <w:tc>
          <w:tcPr>
            <w:tcW w:w="15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760" w:type="dxa"/>
            <w:vAlign w:val="bottom"/>
          </w:tcPr>
          <w:p>
            <w:pPr>
              <w:spacing w:after="0"/>
              <w:rPr>
                <w:sz w:val="11"/>
                <w:szCs w:val="11"/>
                <w:color w:val="auto"/>
              </w:rPr>
            </w:pPr>
          </w:p>
        </w:tc>
        <w:tc>
          <w:tcPr>
            <w:tcW w:w="1280" w:type="dxa"/>
            <w:vAlign w:val="bottom"/>
            <w:gridSpan w:val="2"/>
          </w:tcPr>
          <w:p>
            <w:pPr>
              <w:jc w:val="center"/>
              <w:ind w:right="680"/>
              <w:spacing w:after="0" w:line="12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1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rPr>
              <w:t>2017</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ind w:right="199"/>
              <w:spacing w:after="0" w:line="148" w:lineRule="exact"/>
              <w:rPr>
                <w:sz w:val="20"/>
                <w:szCs w:val="20"/>
                <w:color w:val="auto"/>
              </w:rPr>
            </w:pPr>
            <w:r>
              <w:rPr>
                <w:rFonts w:ascii="Arial" w:cs="Arial" w:eastAsia="Arial" w:hAnsi="Arial"/>
                <w:sz w:val="14"/>
                <w:szCs w:val="14"/>
                <w:b w:val="1"/>
                <w:bCs w:val="1"/>
                <w:color w:val="auto"/>
              </w:rPr>
              <w:t>2016</w:t>
            </w:r>
          </w:p>
        </w:tc>
        <w:tc>
          <w:tcPr>
            <w:tcW w:w="760" w:type="dxa"/>
            <w:vAlign w:val="bottom"/>
          </w:tcPr>
          <w:p>
            <w:pPr>
              <w:spacing w:after="0"/>
              <w:rPr>
                <w:sz w:val="12"/>
                <w:szCs w:val="12"/>
                <w:color w:val="auto"/>
              </w:rPr>
            </w:pPr>
          </w:p>
        </w:tc>
        <w:tc>
          <w:tcPr>
            <w:tcW w:w="128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83"/>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51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20"/>
              <w:spacing w:after="0" w:line="203" w:lineRule="exact"/>
              <w:rPr>
                <w:sz w:val="20"/>
                <w:szCs w:val="20"/>
                <w:color w:val="auto"/>
              </w:rPr>
            </w:pPr>
            <w:r>
              <w:rPr>
                <w:rFonts w:ascii="Arial" w:cs="Arial" w:eastAsia="Arial" w:hAnsi="Arial"/>
                <w:sz w:val="18"/>
                <w:szCs w:val="18"/>
                <w:color w:val="auto"/>
                <w:w w:val="85"/>
              </w:rPr>
              <w:t>31.5</w:t>
            </w:r>
          </w:p>
        </w:tc>
        <w:tc>
          <w:tcPr>
            <w:tcW w:w="76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00"/>
              <w:spacing w:after="0" w:line="203" w:lineRule="exact"/>
              <w:rPr>
                <w:sz w:val="20"/>
                <w:szCs w:val="20"/>
                <w:color w:val="auto"/>
              </w:rPr>
            </w:pPr>
            <w:r>
              <w:rPr>
                <w:rFonts w:ascii="Arial" w:cs="Arial" w:eastAsia="Arial" w:hAnsi="Arial"/>
                <w:sz w:val="18"/>
                <w:szCs w:val="18"/>
                <w:color w:val="auto"/>
                <w:w w:val="85"/>
              </w:rPr>
              <w:t>63.4</w:t>
            </w: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  (32.0)</w:t>
            </w:r>
          </w:p>
        </w:tc>
        <w:tc>
          <w:tcPr>
            <w:tcW w:w="68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22"/>
        </w:trPr>
        <w:tc>
          <w:tcPr>
            <w:tcW w:w="516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80" w:type="dxa"/>
            <w:vAlign w:val="bottom"/>
          </w:tcPr>
          <w:p>
            <w:pPr>
              <w:spacing w:after="0"/>
              <w:rPr>
                <w:sz w:val="19"/>
                <w:szCs w:val="19"/>
                <w:color w:val="auto"/>
              </w:rPr>
            </w:pPr>
          </w:p>
        </w:tc>
        <w:tc>
          <w:tcPr>
            <w:tcW w:w="1400" w:type="dxa"/>
            <w:vAlign w:val="bottom"/>
            <w:gridSpan w:val="2"/>
          </w:tcPr>
          <w:p>
            <w:pPr>
              <w:ind w:left="320"/>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9"/>
                <w:szCs w:val="19"/>
                <w:color w:val="auto"/>
              </w:rPr>
            </w:pPr>
          </w:p>
        </w:tc>
        <w:tc>
          <w:tcPr>
            <w:tcW w:w="1380" w:type="dxa"/>
            <w:vAlign w:val="bottom"/>
            <w:gridSpan w:val="2"/>
          </w:tcPr>
          <w:p>
            <w:pPr>
              <w:ind w:left="300"/>
              <w:spacing w:after="0"/>
              <w:rPr>
                <w:sz w:val="20"/>
                <w:szCs w:val="20"/>
                <w:color w:val="auto"/>
              </w:rPr>
            </w:pPr>
            <w:r>
              <w:rPr>
                <w:rFonts w:ascii="Arial" w:cs="Arial" w:eastAsia="Arial" w:hAnsi="Arial"/>
                <w:sz w:val="18"/>
                <w:szCs w:val="18"/>
                <w:color w:val="auto"/>
              </w:rPr>
              <w:t>20.5%</w:t>
            </w: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decrease in our satellite services segment operating profit was driven primarily by lower earnings contributions of $23.6 million primarily due to the decrease in product revenues resulting from the completion of payments under the Settlement Agreement during fiscal year 2017, as well as increases in cost of service revenues related to in-flight services and fixed broadband services due to large-scale commercial air in-flight connectivity service ramp up and preparation for the ViaSat-2 service launch. The decrease in operating profit was further impacted by higher SG&amp;A costs of $8.4 million compared to the prior year period mainly due to the higher employee-related costs supporting the upcoming ViaSat-2 service launch, as well as in support of the expansion of our international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w w:val="87"/>
              </w:rPr>
              <w:t>Six Months Ended</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460" w:type="dxa"/>
            <w:vAlign w:val="bottom"/>
          </w:tcPr>
          <w:p>
            <w:pPr>
              <w:spacing w:after="0"/>
              <w:rPr>
                <w:sz w:val="11"/>
                <w:szCs w:val="11"/>
                <w:color w:val="auto"/>
              </w:rPr>
            </w:pPr>
          </w:p>
        </w:tc>
        <w:tc>
          <w:tcPr>
            <w:tcW w:w="11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80"/>
              <w:spacing w:after="0" w:line="148"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w w:val="89"/>
              </w:rPr>
              <w:t>2016</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4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4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83.8</w:t>
            </w:r>
          </w:p>
        </w:tc>
        <w:tc>
          <w:tcPr>
            <w:tcW w:w="3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117.0</w:t>
            </w:r>
          </w:p>
        </w:tc>
        <w:tc>
          <w:tcPr>
            <w:tcW w:w="30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(33.2)</w:t>
            </w:r>
          </w:p>
        </w:tc>
        <w:tc>
          <w:tcPr>
            <w:tcW w:w="66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17.7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14.0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3.7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segment revenues</w:t>
            </w:r>
          </w:p>
        </w:tc>
        <w:tc>
          <w:tcPr>
            <w:tcW w:w="3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101.5</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131.0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commercial networks segment revenues decreased by $29.5 million, due to a $33.2 million decrease in product revenues, partially offset by a</w:t>
      </w:r>
    </w:p>
    <w:p>
      <w:pPr>
        <w:spacing w:after="0" w:line="3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$3.7 million increase in service revenues. The decrease in product revenues was primarily due to a decrease of $37.9 million in fixed satellite networks products (mainly due to a decrease in broadband terminal orders from our large-scale Australian Ka-band infrastructure project that commenced last fiscal year), partially offset by an increase of $5.0 million in mobile broadband satellite communication systems products. The increase in service revenues was primarily due to an increase of $2.6 million in fixed satellite network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w w:val="90"/>
              </w:rPr>
              <w:t>Six Months Ended</w:t>
            </w:r>
          </w:p>
        </w:tc>
        <w:tc>
          <w:tcPr>
            <w:tcW w:w="6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760" w:type="dxa"/>
            <w:vAlign w:val="bottom"/>
            <w:vMerge w:val="restart"/>
          </w:tcPr>
          <w:p>
            <w:pPr>
              <w:spacing w:after="0"/>
              <w:rPr>
                <w:sz w:val="11"/>
                <w:szCs w:val="11"/>
                <w:color w:val="auto"/>
              </w:rPr>
            </w:pPr>
          </w:p>
        </w:tc>
        <w:tc>
          <w:tcPr>
            <w:tcW w:w="1520" w:type="dxa"/>
            <w:vAlign w:val="bottom"/>
          </w:tcPr>
          <w:p>
            <w:pPr>
              <w:spacing w:after="0"/>
              <w:rPr>
                <w:sz w:val="11"/>
                <w:szCs w:val="11"/>
                <w:color w:val="auto"/>
              </w:rPr>
            </w:pPr>
          </w:p>
        </w:tc>
        <w:tc>
          <w:tcPr>
            <w:tcW w:w="13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176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ind w:right="199"/>
              <w:spacing w:after="0" w:line="148" w:lineRule="exact"/>
              <w:rPr>
                <w:sz w:val="20"/>
                <w:szCs w:val="20"/>
                <w:color w:val="auto"/>
              </w:rPr>
            </w:pPr>
            <w:r>
              <w:rPr>
                <w:rFonts w:ascii="Arial" w:cs="Arial" w:eastAsia="Arial" w:hAnsi="Arial"/>
                <w:sz w:val="14"/>
                <w:szCs w:val="14"/>
                <w:b w:val="1"/>
                <w:bCs w:val="1"/>
                <w:color w:val="auto"/>
                <w:w w:val="96"/>
              </w:rPr>
              <w:t>2016</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83"/>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37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15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60" w:type="dxa"/>
            <w:vAlign w:val="bottom"/>
            <w:gridSpan w:val="2"/>
            <w:vMerge w:val="continue"/>
            <w:shd w:val="clear" w:color="auto" w:fill="CCEEFF"/>
          </w:tcPr>
          <w:p>
            <w:pPr>
              <w:spacing w:after="0"/>
              <w:rPr>
                <w:sz w:val="17"/>
                <w:szCs w:val="17"/>
                <w:color w:val="auto"/>
              </w:rPr>
            </w:pPr>
          </w:p>
        </w:tc>
        <w:tc>
          <w:tcPr>
            <w:tcW w:w="15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rPr>
              <w:t>(125.5)</w:t>
            </w:r>
          </w:p>
        </w:tc>
        <w:tc>
          <w:tcPr>
            <w:tcW w:w="2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240"/>
              <w:spacing w:after="0" w:line="203" w:lineRule="exact"/>
              <w:rPr>
                <w:sz w:val="20"/>
                <w:szCs w:val="20"/>
                <w:color w:val="auto"/>
              </w:rPr>
            </w:pPr>
            <w:r>
              <w:rPr>
                <w:rFonts w:ascii="Arial" w:cs="Arial" w:eastAsia="Arial" w:hAnsi="Arial"/>
                <w:sz w:val="18"/>
                <w:szCs w:val="18"/>
                <w:color w:val="auto"/>
              </w:rPr>
              <w:t>(79.4)</w:t>
            </w:r>
          </w:p>
        </w:tc>
        <w:tc>
          <w:tcPr>
            <w:tcW w:w="26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  (46.1)</w:t>
            </w:r>
          </w:p>
        </w:tc>
        <w:tc>
          <w:tcPr>
            <w:tcW w:w="62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color w:val="auto"/>
              </w:rPr>
              <w:t>(123.6)%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ind w:left="240"/>
              <w:spacing w:after="0"/>
              <w:rPr>
                <w:sz w:val="20"/>
                <w:szCs w:val="20"/>
                <w:color w:val="auto"/>
              </w:rPr>
            </w:pPr>
            <w:r>
              <w:rPr>
                <w:rFonts w:ascii="Arial" w:cs="Arial" w:eastAsia="Arial" w:hAnsi="Arial"/>
                <w:sz w:val="18"/>
                <w:szCs w:val="18"/>
                <w:color w:val="auto"/>
              </w:rPr>
              <w:t>(60.6)%</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The $46.1 million increase in our commercial networks segment operating loss was driven primarily by a $26.6 million increase in IR&amp;D expenses (primarily due to an increase in IR&amp;D efforts relating to next-generation satellite payload technologies for our ViaSat-3 class satellites and mobile broadband satellite communication systems for commercial airline platforms), lower earnings contributions of $11.9 million (primarily due to lower revenues in fixed satellite network products and lower margins in our mobile broadband satellite communication systems due to a ramp up of mobile terminal deliveries that are expected to occur in the second half of fiscal year 2018) and a $7.5 million increase in overall SG&amp;A costs (primarily due to the higher employee-related costs supporting our commercial air growth activities).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5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6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80" w:type="dxa"/>
            <w:vAlign w:val="bottom"/>
          </w:tcPr>
          <w:p>
            <w:pPr>
              <w:spacing w:after="0"/>
              <w:rPr>
                <w:sz w:val="11"/>
                <w:szCs w:val="11"/>
                <w:color w:val="auto"/>
              </w:rPr>
            </w:pPr>
          </w:p>
        </w:tc>
        <w:tc>
          <w:tcPr>
            <w:tcW w:w="1420" w:type="dxa"/>
            <w:vAlign w:val="bottom"/>
            <w:gridSpan w:val="3"/>
          </w:tcPr>
          <w:p>
            <w:pPr>
              <w:jc w:val="right"/>
              <w:ind w:right="60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8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Increase</w:t>
            </w:r>
          </w:p>
        </w:tc>
        <w:tc>
          <w:tcPr>
            <w:tcW w:w="600" w:type="dxa"/>
            <w:vAlign w:val="bottom"/>
          </w:tcPr>
          <w:p>
            <w:pPr>
              <w:spacing w:after="0"/>
              <w:rPr>
                <w:sz w:val="11"/>
                <w:szCs w:val="11"/>
                <w:color w:val="auto"/>
              </w:rPr>
            </w:pP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0"/>
              <w:spacing w:after="0" w:line="148" w:lineRule="exact"/>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w w:val="83"/>
              </w:rPr>
              <w:t>2016</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0"/>
              </w:rPr>
              <w:t>(Decrease)</w:t>
            </w:r>
          </w:p>
        </w:tc>
        <w:tc>
          <w:tcPr>
            <w:tcW w:w="600" w:type="dxa"/>
            <w:vAlign w:val="bottom"/>
          </w:tcPr>
          <w:p>
            <w:pPr>
              <w:spacing w:after="0"/>
              <w:rPr>
                <w:sz w:val="12"/>
                <w:szCs w:val="12"/>
                <w:color w:val="auto"/>
              </w:rPr>
            </w:pP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5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263.6</w:t>
            </w:r>
          </w:p>
        </w:tc>
        <w:tc>
          <w:tcPr>
            <w:tcW w:w="60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jc w:val="right"/>
              <w:ind w:right="79"/>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217.4</w:t>
            </w:r>
          </w:p>
        </w:tc>
        <w:tc>
          <w:tcPr>
            <w:tcW w:w="3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46.2</w:t>
            </w:r>
          </w:p>
        </w:tc>
        <w:tc>
          <w:tcPr>
            <w:tcW w:w="60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108.2</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105.2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segment revenues</w:t>
            </w:r>
          </w:p>
        </w:tc>
        <w:tc>
          <w:tcPr>
            <w:tcW w:w="37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371.8</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322.6</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Our government systems segment revenues increased by $49.2 million due to increases of $46.2 million in product revenues and $3.0 million in service revenues. The product revenue increase was primarily due to a $19.7 million increase in tactical data link products, a $15.5 million increase in global mobile broadband products, a $4.7 million increase in government satellite communication systems products and a $3.9 million increase in tactical satcom radio products. The service revenue increase was primarily due to a $5.2 million increase in government satellite communication systems services and a $1.5 million increase in global mobile broadband services, partially offset by a $4.3 million decrease in our network management services for Wi-Fi and other internet access networks.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2"/>
              </w:rPr>
              <w:t>Six Months Ended</w:t>
            </w:r>
          </w:p>
        </w:tc>
        <w:tc>
          <w:tcPr>
            <w:tcW w:w="60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260" w:type="dxa"/>
            <w:vAlign w:val="bottom"/>
            <w:vMerge w:val="restart"/>
          </w:tcPr>
          <w:p>
            <w:pPr>
              <w:spacing w:after="0"/>
              <w:rPr>
                <w:sz w:val="11"/>
                <w:szCs w:val="11"/>
                <w:color w:val="auto"/>
              </w:rPr>
            </w:pPr>
          </w:p>
        </w:tc>
        <w:tc>
          <w:tcPr>
            <w:tcW w:w="15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760" w:type="dxa"/>
            <w:vAlign w:val="bottom"/>
          </w:tcPr>
          <w:p>
            <w:pPr>
              <w:spacing w:after="0"/>
              <w:rPr>
                <w:sz w:val="11"/>
                <w:szCs w:val="11"/>
                <w:color w:val="auto"/>
              </w:rPr>
            </w:pPr>
          </w:p>
        </w:tc>
        <w:tc>
          <w:tcPr>
            <w:tcW w:w="1220" w:type="dxa"/>
            <w:vAlign w:val="bottom"/>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2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rPr>
              <w:t>2017</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ind w:right="199"/>
              <w:spacing w:after="0" w:line="148" w:lineRule="exact"/>
              <w:rPr>
                <w:sz w:val="20"/>
                <w:szCs w:val="20"/>
                <w:color w:val="auto"/>
              </w:rPr>
            </w:pPr>
            <w:r>
              <w:rPr>
                <w:rFonts w:ascii="Arial" w:cs="Arial" w:eastAsia="Arial" w:hAnsi="Arial"/>
                <w:sz w:val="14"/>
                <w:szCs w:val="14"/>
                <w:b w:val="1"/>
                <w:bCs w:val="1"/>
                <w:color w:val="auto"/>
                <w:w w:val="96"/>
              </w:rPr>
              <w:t>2016</w:t>
            </w:r>
          </w:p>
        </w:tc>
        <w:tc>
          <w:tcPr>
            <w:tcW w:w="760" w:type="dxa"/>
            <w:vAlign w:val="bottom"/>
          </w:tcPr>
          <w:p>
            <w:pPr>
              <w:spacing w:after="0"/>
              <w:rPr>
                <w:sz w:val="12"/>
                <w:szCs w:val="12"/>
                <w:color w:val="auto"/>
              </w:rPr>
            </w:pPr>
          </w:p>
        </w:tc>
        <w:tc>
          <w:tcPr>
            <w:tcW w:w="122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52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w w:val="79"/>
              </w:rPr>
              <w:t>66.8</w:t>
            </w:r>
          </w:p>
        </w:tc>
        <w:tc>
          <w:tcPr>
            <w:tcW w:w="7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00"/>
              <w:spacing w:after="0" w:line="203" w:lineRule="exact"/>
              <w:rPr>
                <w:sz w:val="20"/>
                <w:szCs w:val="20"/>
                <w:color w:val="auto"/>
              </w:rPr>
            </w:pPr>
            <w:r>
              <w:rPr>
                <w:rFonts w:ascii="Arial" w:cs="Arial" w:eastAsia="Arial" w:hAnsi="Arial"/>
                <w:sz w:val="18"/>
                <w:szCs w:val="18"/>
                <w:color w:val="auto"/>
                <w:w w:val="79"/>
              </w:rPr>
              <w:t>47.0</w:t>
            </w: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19.8</w:t>
            </w:r>
          </w:p>
        </w:tc>
        <w:tc>
          <w:tcPr>
            <w:tcW w:w="6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22"/>
        </w:trPr>
        <w:tc>
          <w:tcPr>
            <w:tcW w:w="526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80" w:type="dxa"/>
            <w:vAlign w:val="bottom"/>
          </w:tcPr>
          <w:p>
            <w:pPr>
              <w:spacing w:after="0"/>
              <w:rPr>
                <w:sz w:val="19"/>
                <w:szCs w:val="19"/>
                <w:color w:val="auto"/>
              </w:rPr>
            </w:pPr>
          </w:p>
        </w:tc>
        <w:tc>
          <w:tcPr>
            <w:tcW w:w="1400" w:type="dxa"/>
            <w:vAlign w:val="bottom"/>
            <w:gridSpan w:val="2"/>
          </w:tcPr>
          <w:p>
            <w:pPr>
              <w:ind w:left="340"/>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19"/>
                <w:szCs w:val="19"/>
                <w:color w:val="auto"/>
              </w:rPr>
            </w:pPr>
          </w:p>
        </w:tc>
        <w:tc>
          <w:tcPr>
            <w:tcW w:w="1360" w:type="dxa"/>
            <w:vAlign w:val="bottom"/>
            <w:gridSpan w:val="2"/>
          </w:tcPr>
          <w:p>
            <w:pPr>
              <w:ind w:left="300"/>
              <w:spacing w:after="0"/>
              <w:rPr>
                <w:sz w:val="20"/>
                <w:szCs w:val="20"/>
                <w:color w:val="auto"/>
              </w:rPr>
            </w:pPr>
            <w:r>
              <w:rPr>
                <w:rFonts w:ascii="Arial" w:cs="Arial" w:eastAsia="Arial" w:hAnsi="Arial"/>
                <w:sz w:val="18"/>
                <w:szCs w:val="18"/>
                <w:color w:val="auto"/>
              </w:rPr>
              <w:t>14.6%</w:t>
            </w: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240" w:firstLine="456"/>
        <w:spacing w:after="0" w:line="323" w:lineRule="auto"/>
        <w:rPr>
          <w:sz w:val="20"/>
          <w:szCs w:val="20"/>
          <w:color w:val="auto"/>
        </w:rPr>
      </w:pPr>
      <w:r>
        <w:rPr>
          <w:rFonts w:ascii="Arial" w:cs="Arial" w:eastAsia="Arial" w:hAnsi="Arial"/>
          <w:sz w:val="15"/>
          <w:szCs w:val="15"/>
          <w:color w:val="auto"/>
        </w:rPr>
        <w:t>The $19.8 million increase in our government systems segment operating profit reflected higher earnings contributions of $35.9 million primarily due to higher revenues in our tactical data links products, global mobile broadband products and government satellite communication systems products and services, coupled with improved margins in global mobile broadband products. This operating profit increase was partially offset by higher IR&amp;D costs of $9.4 million (primarily related to research increases in the development of next-generation dual band mobility solutions) and overall higher SG&amp;A costs of $6.7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reflected in the table below, our overall firm and funded backlog increased during the first six months of fiscal year 2018. The increases in both firm and funded backlog were attributable primarily to increases in our government systems segment.</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900" w:type="dxa"/>
            <w:vAlign w:val="bottom"/>
            <w:gridSpan w:val="4"/>
          </w:tcPr>
          <w:p>
            <w:pPr>
              <w:spacing w:after="0"/>
              <w:rPr>
                <w:sz w:val="20"/>
                <w:szCs w:val="20"/>
                <w:color w:val="auto"/>
              </w:rPr>
            </w:pPr>
            <w:r>
              <w:rPr>
                <w:rFonts w:ascii="Arial" w:cs="Arial" w:eastAsia="Arial" w:hAnsi="Arial"/>
                <w:sz w:val="14"/>
                <w:szCs w:val="14"/>
                <w:b w:val="1"/>
                <w:bCs w:val="1"/>
                <w:color w:val="auto"/>
              </w:rPr>
              <w:t>September 30, 2017</w:t>
            </w:r>
          </w:p>
        </w:tc>
        <w:tc>
          <w:tcPr>
            <w:tcW w:w="1060" w:type="dxa"/>
            <w:vAlign w:val="bottom"/>
            <w:gridSpan w:val="4"/>
          </w:tcPr>
          <w:p>
            <w:pPr>
              <w:ind w:left="100"/>
              <w:spacing w:after="0"/>
              <w:rPr>
                <w:sz w:val="20"/>
                <w:szCs w:val="20"/>
                <w:color w:val="auto"/>
              </w:rPr>
            </w:pPr>
            <w:r>
              <w:rPr>
                <w:rFonts w:ascii="Arial" w:cs="Arial" w:eastAsia="Arial" w:hAnsi="Arial"/>
                <w:sz w:val="14"/>
                <w:szCs w:val="14"/>
                <w:b w:val="1"/>
                <w:bCs w:val="1"/>
                <w:color w:val="auto"/>
                <w:w w:val="94"/>
              </w:rPr>
              <w:t>March 31, 2017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ind w:left="840"/>
              <w:spacing w:after="0" w:line="142" w:lineRule="exact"/>
              <w:rPr>
                <w:sz w:val="20"/>
                <w:szCs w:val="20"/>
                <w:color w:val="auto"/>
              </w:rPr>
            </w:pPr>
            <w:r>
              <w:rPr>
                <w:rFonts w:ascii="Arial" w:cs="Arial" w:eastAsia="Arial" w:hAnsi="Arial"/>
                <w:sz w:val="14"/>
                <w:szCs w:val="14"/>
                <w:b w:val="1"/>
                <w:bCs w:val="1"/>
                <w:color w:val="auto"/>
                <w:w w:val="99"/>
              </w:rPr>
              <w:t>(In millions)</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Firm backlog</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126.5</w:t>
            </w:r>
          </w:p>
        </w:tc>
        <w:tc>
          <w:tcPr>
            <w:tcW w:w="760" w:type="dxa"/>
            <w:vAlign w:val="bottom"/>
          </w:tcPr>
          <w:p>
            <w:pPr>
              <w:spacing w:after="0"/>
              <w:rPr>
                <w:sz w:val="18"/>
                <w:szCs w:val="18"/>
                <w:color w:val="auto"/>
              </w:rPr>
            </w:pP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Commercial networks segment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Government systems segment</w:t>
            </w: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689.0</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1,078.9</w:t>
            </w:r>
          </w:p>
        </w:tc>
        <w:tc>
          <w:tcPr>
            <w:tcW w:w="7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r>
              <w:rPr>
                <w:rFonts w:ascii="Arial" w:cs="Arial" w:eastAsia="Arial" w:hAnsi="Arial"/>
                <w:sz w:val="18"/>
                <w:szCs w:val="18"/>
                <w:u w:val="single" w:color="auto"/>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7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 segment</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7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263.4</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 segment</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615.9</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1,005.8</w:t>
            </w:r>
          </w:p>
        </w:tc>
        <w:tc>
          <w:tcPr>
            <w:tcW w:w="760" w:type="dxa"/>
            <w:vAlign w:val="bottom"/>
          </w:tcPr>
          <w:p>
            <w:pPr>
              <w:spacing w:after="0"/>
              <w:rPr>
                <w:sz w:val="19"/>
                <w:szCs w:val="19"/>
                <w:color w:val="auto"/>
              </w:rPr>
            </w:pP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937.9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firm backlog does not include contract options. Of the $1.1 billion in firm backlog, $375.0 million is expected to be delivered during the remaining six months of fiscal year 2018, and the balance is expected to be delivered in fiscal year 2019 and thereafter. We include in our backlog only those orders for which we have accepted purchase orders. Backlog does not include contracts with our Exede broadband internet subscribers in our satellite services segment, nor does it include anticipated purchase orders and requests for the installation of in-flight broadband systems or future recurring internet services revenues under commercial in-flight internet agreements recorded in our commercial networks and satellite services segments, respectively. As of September 30, 2017, we expect to install in-flight broadband systems on approximately 830 additional aircraft under our existing customer agreements with commercial airlines, approximately 100 of which relate to accepted purchase orders (and are included in firm backlog in our commercial networks segment) and approximately 730 of which relate to anticipated purchase orders and requests under existing customer agreements. There can be no assurance that all anticipated purchase orders and requests will be placed.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Our total new awards were approximately $384.8 million and $826.6 million for the three and six months ended September 30, 2017, respectively, compared to $586.1 million and $922.4 million for the three and six months ended September 30, 2016, respectively.</w:t>
      </w:r>
    </w:p>
    <w:p>
      <w:pPr>
        <w:spacing w:after="0" w:line="85"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4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 has ultimately been approximately equal to the aggregate amounts of the contracts.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80" w:firstLine="456"/>
        <w:spacing w:after="0" w:line="283" w:lineRule="auto"/>
        <w:rPr>
          <w:sz w:val="20"/>
          <w:szCs w:val="20"/>
          <w:color w:val="auto"/>
        </w:rPr>
      </w:pPr>
      <w:r>
        <w:rPr>
          <w:rFonts w:ascii="Arial" w:cs="Arial" w:eastAsia="Arial" w:hAnsi="Arial"/>
          <w:sz w:val="16"/>
          <w:szCs w:val="16"/>
          <w:color w:val="auto"/>
        </w:rPr>
        <w:t>We have financed our operations to date primarily with cash flows from operations, bank line of credit financing, debt financing, export credit agency financing and equity financing. At September 30, 2017, we had $242.7 million in cash and cash equivalents, $417.4 million in working capital, no outstanding borrowings under our revolving credit facility (the Revolving Credit Facility) and borrowing availability of $769.9 million under the Revolving Credit Facility. As of September 30, 2017, our $362.4 million direct loan facility with the Export-Import Bank of the United States for ViaSat-2 (the Ex-Im Credit Facility and, together with the Revolving Credit Facility, the Credit Facilities) was fully drawn. At March 31, 2017, we had $130.1 million in cash and cash equivalents, $289.3 million in working capital, no outstanding borrowings and borrowing availability of $761.4 million under our Revolving Credit Facility and</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$274.6 million in principal amount of outstanding borrowings under our Ex-Im Credit Facility. We invest our cash in excess of current operating requirements in short-term, interest-bearing, investment-grade securities.</w:t>
      </w:r>
    </w:p>
    <w:p>
      <w:pPr>
        <w:spacing w:after="0" w:line="13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future capital requirements will depend upon many factors, including the timing and amount of cash required for our satellite projects and any future broadband satellite projects we may engage in, expansion of our research and development and marketing efforts, and the nature and timing of orders. Additionally, we will continue to evaluate possible acquisitions of, or investments in complementary businesses, products and technologies which may require the use of cash or additional financing.</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general cash needs of our satellite services, commercial networks and government systems segments can vary significantly. The cash needs of our satellite services segment tend to be driven by the timing and amount of capital expenditures (e.g., payments under satellite construction and launch contracts and investments in ground infrastructure roll-out), investments in joint ventures and strategic partnering arrangements (such as our Eutelsat strategic partnering arrangement) and network expansion activities, as well as the quality of customer, type of contract and payment terms. In our commercial networks segment, cash needs tend to be driven primarily by the type and mix of contracts in backlog, the nature and quality of customers, the timing and amount of investments in IR&amp;D activities (including with respect to next-generation satellite payload technologies) and the payment terms of customers (including whether advance payments are made or customer financing is required). 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12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To further enhance our liquidity position or to finance the construction and launch of any future satellites, acquisitions, strategic partnering arrangements, joint ventures or other business investment initiatives, we may obtain additional financing, which could consist of debt, convertible debt or equity financing from public and/or private credit and capital markets. In February 2016, we filed a universal shelf registration statement with the SEC for the future sale of an unlimited amount of common stock, preferred stock, debt securities,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 We believe that our current cash balances and net cash expected to be provided by operating activities along with availability under our Revolving Credit Facility will be sufficient to meet our anticipated operating requirements for at least the next 12 months.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Cash provided by operating activities for the first six months of fiscal year 2018 was $185.8 million compared to $191.6 million in the prior year period. This $5.8 million decrease was primarily driven by our operating results (net (loss) income adjusted for depreciation, amortization and other non-cash charges) which resulted in $42.1 million of higher cash outflows year-over-year, partially offset by a $36.3 million year-over-year decrease in cash used to fund net operating assets. The decrease in cash used to fund net operating assets during the first six months of fiscal year 2018 when compared to the prior year period was primarily due to an increase in the long-term portion of deferred revenues included in other liabilities in our satellite services segment, partially offset by an increase in cash used for inventory in our commercial networks segment due to a ramp up of mobile terminal deliveries that are expected to occur in the second half of fiscal year 2018.</w:t>
      </w:r>
    </w:p>
    <w:p>
      <w:pPr>
        <w:spacing w:after="0" w:line="14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Cash used in investing activities for the first six months of fiscal year 2018 was $243.6 million compared to $299.1 million in the prior year period. The decrease in cash used in investing activities year-over-year reflects a decrease of $59.2 million in cash used for satellite construction, partially offset by an increase of $4.3 million for the construction of earth stations and network operation systems related to the ViaSat-2 satellite.</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Cash provided by financing activities for the first six months of fiscal year 2018 was $169.8 million compared to $116.9 million for the prior year period. This $52.9 million increase in cash provided by financing activities year-over-year was primarily related to the issuance of $700.0 million in aggregate principal amount of our 5.625% Senior Notes due 2025 (the 2025 Notes) during the second quarter of fiscal year 2018. This increase was partially offset by the repurchase and redemption of $575.0 million in aggregate principal amount of our former 6.875% Notes due 2020 (the 2020 Notes) and $10.6 million with respect to the related payment of debt extinguishment costs during the second quarter of fiscal year 2018. Further offsets included year-over-year decreases of $45.0 million in net proceeds from borrowings under our Revolving Credit Facility and $14.7 million in net proceeds from borrowings under our Ex-Im Credit Facility and a year-over-year increase of $2.2 million related to payments of debt issuance costs during the first six months of fiscal year 2018. Cash provided by financing activities for both periods included cash received from stock option exercises and employee stock purchase plan purchases, offset by cash used for the repurchase of common stock related to net share settlement of certain employee tax liabilities in connection with the vesting of restricted stock unit awards.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Satellite-related activities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May 2013, we entered into an agreement to purchase the ViaSat-2 satellite from The Boeing Company (Boeing). In April 2017, the satellite construction agreement was amended to replace the remaining milestone payments for the satellite under the agreement with approximately $21.0 million of in-orbit satellite performance incentive payments, excluding interest, payable monthly over a nine-year period commencing one month after the completion of in-orbit testing, subject to the continued satisfactory performance of the satellite. On June 1, 2017, ViaSat-2 was successfully launched into orbit. Boeing will transfer control of the satellite to us following the successful completion of orbit raising, orbital placement and in-orbit testing.</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believe the roll-out of our ViaSat-2 satellite and related ground infrastructure will impact our financial results in our satellite services segment in the remainder of fiscal year 2018 and beyond. In particular, we expect to continue to incur capital expenditures in ground infrastructure for the satellite, and to increase our investment in subscriber acquisition costs after ViaSat-2 is placed into service as we expand our subscriber base for our Exede broadband services. However, there can be no assurance that we will be successful in our expansion plans. During the period from late fiscal year 2012 until early fiscal year 2015, we incurred higher operating costs in connection with the launch and roll-out of our ViaSat-1 satellite, related ground infrastructure and Exede broadband services, as well as higher interest expense as we capitalized a lower amount of the interest expense on our outstanding debt. These higher operating costs, which negatively impacted income from our operations during that period, included costs associated with depreciation, earth station connectivity, subscriber acquisition costs, logistics, customer care and various support systems. We expect the relative impact of the launch and roll-out of our ViaSat-2 satellite and related ground infrastructure to our financial results to be less than we experienced in relation to the launch and roll-out of our ViaSat-1 satellite and related ground infrastructure.</w:t>
      </w:r>
    </w:p>
    <w:p>
      <w:pPr>
        <w:spacing w:after="0" w:line="12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As of September 30, 2017, we had two separate agreements with Boeing for the construction and purchase of two ViaSat-3 class satellites and the integration of ViaSat’s payload technologies into the satellites at an amended price of approximately $379.5 million in the aggregate (subject to purchase price adjustments based on factors such as launch delay and early delivery), plus an additional amount for launch support services to be performed by Boeing. In addition, under one of these agreements, we have the option to order up to two additional ViaSat-3 class satellites. The first ViaSat-3 class satellite is expected to provide broadband services over the Americas, and the second is expected to provide broadband services over the Europe, Middle East and Africa (EMEA) region. The projected aggregate total project cost for the two ViaSat-3 class satellites, including the satellites, launches, insurance and related earth station infrastructure, through satellite launch is estimated to be between $1.2 billion and $1.4 billion, and will depend on the timing of the earth station infrastructure roll-out of each satellite and the method we use to procure fiber access. Our total cash funding may be reduced through various third-party agreements, including potential joint service offerings and other strategic partnering arrangements. We believe we have adequate sources of funding for the ViaSat-3 class satellites, which include our cash on hand, available borrowing capacity and the cash we expect to generate from operations over the next few years.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IR&amp;D investments in our ViaSat-3 class satellites currently under construction and in our commercial mobility businesses are expected to be higher in fiscal year 2018 compared to the prior fiscal year and accordingly negatively impact our financial results in our commercial networks segment in fiscal year 2018, with our investments in related ground infrastructure development continuing in subsequent fiscal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 of September 30, 2017, the Revolving Credit Facility provided an $800.0 million revolving line of credit (including up to $150.0 million of letters of credit) with a maturity date of May 24, 2021.</w:t>
      </w:r>
    </w:p>
    <w:p>
      <w:pPr>
        <w:spacing w:after="0" w:line="13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Borrowings under the Revolving Credit Facility bear interest, at our option, at either (1) the highest of the Federal Funds rate plus 0.50%, the Eurodollar rate plus 1.00%, or the administrative agent’s prime rate as announced from time to time, or (2) the Eurodollar rate, plus, in the case of each of (1) and (2), an applicable margin that is based on our total leverage ratio. The Revolving Credit Facility is required to be guaranteed by certain significant domestic subsidiaries of ViaSat (as defined in the Revolving Credit Facility) and secured by substantially all of our assets. As of September 30, 2017, none of our subsidiaries guaranteed the Revolving Credit Facility.</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our ability to sell assets, make investments and acquisitions, make capital expenditures, grant liens, pay dividends and make certain other restricted payments.</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At September 30, 2017, we had no outstanding borrowings under the Revolving Credit Facility and $30.1 million outstanding under standby letters of credit, leaving borrowing availability under the Revolving Credit Facility as of September 30, 2017 of $769.9 million.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As of September 30, 2017, the Ex-Im Credit Facility provided a $362.4 million senior secured direct loan facility, which was fully drawn. Of the $362.4 million in principal amount of borrowings made under the Ex-Im Credit Facility, $321.2 million was used to finance up to 85% of the costs of construction, launch and insurance of the ViaSat-2 satellite and related goods and services (including costs incurred on or after September 18, 2012), with the remaining $41.2 million used to finance the total exposure fees incurred under the Ex-Im Credit Facility (which includes all previously accrued completion exposure fees).</w:t>
      </w:r>
    </w:p>
    <w:p>
      <w:pPr>
        <w:spacing w:after="0" w:line="11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Borrowings under the Ex-Im Credit Facility bear interest at a fixed rate of 2.38% and are required to be repaid in 16 approximately equal semi-annual installments, commencing approximately six months after the in-orbit acceptance date of the ViaSat-2 satellite (or, if earlier, on April 15, 2018), with a maturity date of October 15, 2025. Exposure fees under the Ex-Im Credit Facility are amortized using the effective interest rate method. The effective interest rate on our outstanding borrowings under the Ex-Im Credit Facility, which takes into account timing and amount of borrowings, exposure fees, debt issuance costs and other fees, was approximately 4.6%. The Ex-Im Credit Facility is guaranteed by ViaSat and is secured by first-priority liens on the ViaSat-2 satellite and related assets as well as a pledge of the capital stock of the borrower under the facility.</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our ability to sell assets, make investments and acquisitions, make capital expenditures, grant liens, pay dividends and make certain other restricted payments.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Borrowings under the Ex-Im Credit Facility were issued with a discount of $42.3 million (comprising the initial $6.0 million exposure fee, $35.3 million of completion exposure fees, and other customary fees). The borrowings under the Ex-Im Credit Facility are recorded as current portion of long-term debt and as other long-term debt, net of unamortized discount and debt issuance costs, in our condensed consolidated financial statements. The discount and deferred financing cost associated with the issuance of the borrowings under the Ex-Im Credit Facility are amortized to interest expense on an effective interest rate basis over the term of the borrowings under the Ex-Im Credit Facility.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Discharge of indenture and loss on extinguishment of debt</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 connection with our issuance of the 2025 Notes on September 21, 2017, we repurchased and redeemed all of our $575.0 million in aggregate principal amount of 2020 Notes then outstanding through a cash tender offer and redemption, and the indenture governing the 2020 Notes was satisfied and discharged in accordance with its terms. On September 21, 2017, we repurchased $298.2 million in aggregate principal amount of the 2020 Notes pursuant to the tender offer. The total cash payment to repurchase the tendered 2020 Notes in the tender offer, including accrued and unpaid interest to, but excluding, the repurchase date, was $309.3 million. Also on September 21, 2017, in connection with the redemption of the remaining $276.8 million in aggregate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principal amount of 2020 Notes, we irrevocably deposited $287.4 million with Wilmington Trust, as trustee, as trust funds solely for the benefit of the holders of such 2020 Notes. The redemption price for the 2020 Notes was 101.719% of the principal amount so redeemed, plus accrued and unpaid interest to, but excluding, the redemption date of October 5, 2017.</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connection with the satisfaction and discharge of the indenture governing the 2020 Notes, all of our obligations (other than certain customary provisions of the indenture that expressly survive pursuant to the terms of the indenture) were discharged on September 21, 2017.</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a result of the repurchase of the 2020 Notes in the tender offer and the redemption of the remaining 2020 Notes, we recognized a $10.2 million loss on extinguishment of debt during the three and six months ended September 30, 2017, which was comprised of $10.6 million in cash payments (including tender offer consideration, redemption premium and related professional fees), net of $0.4 million in non-cash gain (including unamortized premium, net of unamortized debt issuance costs).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On September 21, 2017, we issued $700.0 million in principal amount of 2025 Notes in a private placement to institutional buyers. The 2025 Notes were issued at face value and are recorded as long-term debt, net of debt issuance costs, in our condensed consolidated financial statements. The 2025 Notes bear interest at the rate of 5.625% per year, payable semi-annually in cash in arrears, which interest payments will commence in March 2018. Debt issuance costs associated with the issuance of the 2025 Notes are amortized to interest expense on a straight-line basis over the term of the 2025 Notes, the results of which are not materially different from the effective interest rate basis.</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2025 Notes are required to be guaranteed on an unsecured senior basis by each of our existing and future subsidiaries that guarantees the Revolving Credit Facility. As of September 30, 2017, none of our subsidiaries guaranteed the 2025 Notes. The 2025 Notes are our general senior unsecured obligations and rank equally in right of payment with all of our existing and future unsecured unsubordinated debt. The 2025 Notes are effectively junior in right of payment to our existing and future secured debt, including under the Credit Facilities (to the extent of the value of the assets securing such debt), are structurally subordinated to all existing and future liabilities (including trade payables) of our subsidiaries that do not guarantee the 2025 Notes, and are senior in right of payment to all of their existing and future subordinated indebtedness.</w:t>
      </w:r>
    </w:p>
    <w:p>
      <w:pPr>
        <w:spacing w:after="0" w:line="120"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The indenture governing the 2025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143"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Prior to September 15, 2020, we may redeem up to 40% of the 2025 Notes at a redemption price of 105.625% of the principal amount thereof, plus accrued and unpaid interest, if any, thereon to the redemption date, from the net cash proceeds of specified equity offerings. We may also redeem the 2025 Notes prior to September 15, 2020,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2025 Notes and (ii) the excess, if any, of (a) the present value at such date of redemption of (1) the redemption price of such 2025 Notes on September 15, 2020 plus (2) all required interest payments due on such 2025 Notes through September 15, 2020 (excluding accrued but unpaid interest to the date of redemption), computed using a discount rate equal to the treasury rate (as defined under the indenture) plus 50 basis points, over (b) the then-outstanding principal amount of such 2025 Notes. The 2025 Notes may be redeemed, in whole or in part, at any time during the 12 months beginning on September 15, 2020 at a redemption price of</w:t>
      </w:r>
    </w:p>
    <w:p>
      <w:pPr>
        <w:spacing w:after="0" w:line="4" w:lineRule="exact"/>
        <w:rPr>
          <w:sz w:val="20"/>
          <w:szCs w:val="20"/>
          <w:color w:val="auto"/>
        </w:rPr>
      </w:pPr>
    </w:p>
    <w:p>
      <w:pPr>
        <w:ind w:right="520"/>
        <w:spacing w:after="0" w:line="323" w:lineRule="auto"/>
        <w:rPr>
          <w:sz w:val="20"/>
          <w:szCs w:val="20"/>
          <w:color w:val="auto"/>
        </w:rPr>
      </w:pPr>
      <w:r>
        <w:rPr>
          <w:rFonts w:ascii="Arial" w:cs="Arial" w:eastAsia="Arial" w:hAnsi="Arial"/>
          <w:sz w:val="16"/>
          <w:szCs w:val="16"/>
          <w:color w:val="auto"/>
        </w:rPr>
        <w:t>102.813%, during the 12 months beginning on September 15, 2021 at a redemption price of 101.406%, and at any time on or after September 15, 2022 at a redemption price of 100%, in each case plus accrued and unpaid interest, if any, thereon to the redemption date.</w:t>
      </w:r>
    </w:p>
    <w:p>
      <w:pPr>
        <w:spacing w:after="0" w:line="9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the event a change of control triggering event occurs (as defined in the indenture), each holder will have the right to require us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obligations at September 30, 2017:</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7"/>
              <w:spacing w:after="0"/>
              <w:rPr>
                <w:sz w:val="20"/>
                <w:szCs w:val="20"/>
                <w:color w:val="auto"/>
              </w:rPr>
            </w:pPr>
            <w:r>
              <w:rPr>
                <w:rFonts w:ascii="Arial" w:cs="Arial" w:eastAsia="Arial" w:hAnsi="Arial"/>
                <w:sz w:val="14"/>
                <w:szCs w:val="14"/>
                <w:b w:val="1"/>
                <w:bCs w:val="1"/>
                <w:color w:val="auto"/>
                <w:w w:val="88"/>
              </w:rPr>
              <w:t>For the</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Remainder of</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5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 including interest where applicable)</w:t>
            </w:r>
          </w:p>
        </w:tc>
        <w:tc>
          <w:tcPr>
            <w:tcW w:w="100" w:type="dxa"/>
            <w:vAlign w:val="bottom"/>
          </w:tcPr>
          <w:p>
            <w:pPr>
              <w:spacing w:after="0"/>
              <w:rPr>
                <w:sz w:val="14"/>
                <w:szCs w:val="14"/>
                <w:color w:val="auto"/>
              </w:rPr>
            </w:pPr>
          </w:p>
        </w:tc>
        <w:tc>
          <w:tcPr>
            <w:tcW w:w="8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Fiscal Year</w:t>
            </w:r>
          </w:p>
        </w:tc>
        <w:tc>
          <w:tcPr>
            <w:tcW w:w="280" w:type="dxa"/>
            <w:vAlign w:val="bottom"/>
          </w:tcPr>
          <w:p>
            <w:pPr>
              <w:spacing w:after="0"/>
              <w:rPr>
                <w:sz w:val="14"/>
                <w:szCs w:val="14"/>
                <w:color w:val="auto"/>
              </w:rPr>
            </w:pPr>
          </w:p>
        </w:tc>
        <w:tc>
          <w:tcPr>
            <w:tcW w:w="274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For the Fiscal Years Ending</w:t>
            </w:r>
          </w:p>
        </w:tc>
        <w:tc>
          <w:tcPr>
            <w:tcW w:w="0" w:type="dxa"/>
            <w:vAlign w:val="bottom"/>
          </w:tcPr>
          <w:p>
            <w:pPr>
              <w:spacing w:after="0"/>
              <w:rPr>
                <w:sz w:val="1"/>
                <w:szCs w:val="1"/>
                <w:color w:val="auto"/>
              </w:rPr>
            </w:pPr>
          </w:p>
        </w:tc>
      </w:tr>
      <w:tr>
        <w:trPr>
          <w:trHeight w:val="129"/>
        </w:trPr>
        <w:tc>
          <w:tcPr>
            <w:tcW w:w="654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37"/>
              <w:spacing w:after="0" w:line="129" w:lineRule="exact"/>
              <w:rPr>
                <w:sz w:val="20"/>
                <w:szCs w:val="20"/>
                <w:color w:val="auto"/>
              </w:rPr>
            </w:pPr>
            <w:r>
              <w:rPr>
                <w:rFonts w:ascii="Arial" w:cs="Arial" w:eastAsia="Arial" w:hAnsi="Arial"/>
                <w:sz w:val="14"/>
                <w:szCs w:val="14"/>
                <w:b w:val="1"/>
                <w:bCs w:val="1"/>
                <w:color w:val="auto"/>
                <w:w w:val="83"/>
              </w:rPr>
              <w:t>2018</w:t>
            </w:r>
          </w:p>
        </w:tc>
        <w:tc>
          <w:tcPr>
            <w:tcW w:w="28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2019-2020</w:t>
            </w:r>
          </w:p>
        </w:tc>
        <w:tc>
          <w:tcPr>
            <w:tcW w:w="9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2021-2022</w:t>
            </w: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7"/>
              </w:rPr>
              <w:t>Thereafter</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CCEEFF"/>
            </w:tcBorders>
            <w:shd w:val="clear" w:color="auto" w:fill="000000"/>
          </w:tcPr>
          <w:p>
            <w:pPr>
              <w:spacing w:after="0" w:line="20" w:lineRule="exact"/>
              <w:rPr>
                <w:sz w:val="1"/>
                <w:szCs w:val="1"/>
                <w:color w:val="auto"/>
              </w:rPr>
            </w:pPr>
          </w:p>
        </w:tc>
        <w:tc>
          <w:tcPr>
            <w:tcW w:w="1960" w:type="dxa"/>
            <w:vAlign w:val="bottom"/>
            <w:tcBorders>
              <w:bottom w:val="single" w:sz="8" w:color="CCEEFF"/>
            </w:tcBorders>
            <w:shd w:val="clear" w:color="auto" w:fill="000000"/>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Operating leases and satellite capacity agreements</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479,711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37,392</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$128,146</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$100,232</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213,941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2025 Notes</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1,014,453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19,141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78,750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78,750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837,812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Ex-Im Credit Facility</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402,678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3,627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106,208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101,937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190,906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Satellite performance incentives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Purchase commitments including satellite-related agreements</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1,106,622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476,804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502,369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86,811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40,638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3,033,099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538,128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820,578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373,591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1,300,802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12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condensed consolidated balance sheets included $113.0 million and $42.7 million of “other liabilities” as of September 30, 2017 and March 31, 2017, respectively, which primarily consisted of the long-term portion of our satellite performance incentives obligation, our long-term warranty obligations, the long-term portion of deferred rent, long-term portion of deferred revenue and long-term deferred income taxes. With the exception of the long-term portion of our satellite performance incentives obligation, these remaining liabilities have been excluded from the above table as the timing and/or the amount of any cash payment is uncertain. See Note 9 to our condensed consolidated financial statements for additional information regarding our income taxes and related tax positions and Note 7 to our condensed consolidated financial statements for a discussion of our product warranties.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had no material off-balance sheet arrangements at September 30, 2017 as defined in Regulation S-K Item 303(a)(4) other than as discussed under Contractual Obligations above or disclosed in the notes to our consolidated financial statements included in this report or in our Annual Report on Form 10-K for the year ended March 31, 2017.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information regarding recently adopted and issued accounting pronouncements, see Note 1 to the condensed consolidated financial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financial instruments consist of cash and cash equivalents, accounts receivable, accounts payable, short-term and long-term obligations, including the Credit Facilities and the 2025 Notes, and foreign currency forward contracts. We consider investments in highly liquid instruments purchased with a remaining maturity of three months or less at the date of purchase to be cash equivalents. As of September 30, 2017, we had no outstanding borrowings under our Revolving Credit Facility, $362.4 million in principal amount of outstanding borrowings under our Ex-Im Credit Facility, and $700.0 million in aggregate principal amount outstanding of the 2025 Notes, and we held no short-term investments. Our 2025 Notes and borrowings under our Ex-Im Credit Facility bear interest at a fixed rate and therefore our exposure to market risk for changes in interest rates relates primarily to borrowings under our Revolving Credit Facility, cash equivalents, short-term investments and short-term obligations.</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primary objective of our investment activities is to preserve principal while at the same time maximizing the income we receive from our investments without significantly increasing risk. To minimize this risk, we maintain a significant portion of our cash balance in money market funds. In general, money market funds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an insignificant amount for the three months ended September 30, 2017 and 2016. Because our investment policy restricts us to invest in conservative, interest-bearing investments and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because our business strategy does not rely on generating material returns from our investment portfolio, we do not expect our market risk exposure on our investment portfolio to be material.</w:t>
      </w:r>
    </w:p>
    <w:p>
      <w:pPr>
        <w:spacing w:after="0" w:line="132"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Our primary interest rate under the Revolving Credit Facility is the Eurodollar rate plus an applicable margin that is based on our total leverage ratio. Under the Revolving Credit Facility, the effective interest rate as of September 30, 2017 that would have been applied to any new Eurodollar based borrowings under the Revolving Credit Facility was approximately 3.78%. As of September 30, 2017, we had no outstanding borrowings under our Revolving Credit Facility.</w:t>
      </w:r>
    </w:p>
    <w:p>
      <w:pPr>
        <w:spacing w:after="0" w:line="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Accordingly, assuming the outstanding balance remained constant over a year, changes in interests rates applicable to our Revolving Credit Facility would have no effect on our interest incurred and cash flow.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generally conduct our business in U.S. dollars. However, as our international business is conducted in a variety of foreign currencies, we are exposed to fluctuations in foreign currency exchange rates. The closing of our strategic partnering arrangement with Eutelsat during the fourth quarter of fiscal year 2017 and related investment in Euro Infrastructure Co., which is denominated in Euros, increases our exposure to foreign currency risk.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44"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As of September 30, 2017, we had a number of foreign currency forward contracts outstanding which are intended to reduce the foreign currency risk for amounts payable to vendors in Euros. The foreign currency forward contracts with a notional amount of $1.5 million had an insignificant amount of fair value recorded in other current assets as of September 30, 2017. If the foreign currency forward rate for the Euro to the U.S. dollar on these foreign currency forward contracts had changed by 10%, the fair value of these foreign currency forward contracts as of September 30, 2017 would have changed by an insignificant amount.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2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September 30, 2017, the end of the period covered by this report. Based upon the foregoing, our Chief Executive Officer and Chief Financial Officer concluded that our disclosure controls and procedures were effective at a reasonable assurance level as of September 30, 2017.</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During the period covered by this report, there were no changes in our internal control over financial reporting that have materially affected, or are reasonably likely to materially affect, our internal control over financial reporting.</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20"/>
          </w:cols>
          <w:pgMar w:left="240" w:top="459"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From time to time,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in our Annual Report on Form 10-K for the fiscal year ended March 31, 2017.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other information set forth in this report, you should carefully consider the factors discussed in Part I, Item 1A, “Risk Factors” in our Annual Report on Form 10-K for the fiscal year ended March 31, 2017, which factors could materially affect our business, financial condition, liquidity or future results. The risks described in our reports on Forms 10-K and 10-Q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0"/>
              </w:rPr>
              <w:t>Exhibit Number</w:t>
            </w:r>
          </w:p>
        </w:tc>
        <w:tc>
          <w:tcPr>
            <w:tcW w:w="8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Exhibit Description</w:t>
            </w:r>
          </w:p>
        </w:tc>
        <w:tc>
          <w:tcPr>
            <w:tcW w:w="3780" w:type="dxa"/>
            <w:vAlign w:val="bottom"/>
            <w:gridSpan w:val="9"/>
          </w:tcPr>
          <w:p>
            <w:pPr>
              <w:spacing w:after="0"/>
              <w:rPr>
                <w:sz w:val="14"/>
                <w:szCs w:val="14"/>
                <w:color w:val="auto"/>
              </w:rPr>
            </w:pPr>
          </w:p>
        </w:tc>
      </w:tr>
      <w:tr>
        <w:trPr>
          <w:trHeight w:val="277"/>
        </w:trPr>
        <w:tc>
          <w:tcPr>
            <w:tcW w:w="1000" w:type="dxa"/>
            <w:vAlign w:val="bottom"/>
          </w:tcPr>
          <w:p>
            <w:pPr>
              <w:spacing w:after="0"/>
              <w:rPr>
                <w:sz w:val="20"/>
                <w:szCs w:val="20"/>
                <w:color w:val="auto"/>
              </w:rPr>
            </w:pPr>
            <w:r>
              <w:rPr>
                <w:rFonts w:ascii="Arial" w:cs="Arial" w:eastAsia="Arial" w:hAnsi="Arial"/>
                <w:sz w:val="18"/>
                <w:szCs w:val="18"/>
                <w:color w:val="auto"/>
              </w:rPr>
              <w:t>4.1</w:t>
            </w:r>
          </w:p>
        </w:tc>
        <w:tc>
          <w:tcPr>
            <w:tcW w:w="880" w:type="dxa"/>
            <w:vAlign w:val="bottom"/>
          </w:tcPr>
          <w:p>
            <w:pPr>
              <w:spacing w:after="0"/>
              <w:rPr>
                <w:sz w:val="24"/>
                <w:szCs w:val="24"/>
                <w:color w:val="auto"/>
              </w:rPr>
            </w:pPr>
          </w:p>
        </w:tc>
        <w:tc>
          <w:tcPr>
            <w:tcW w:w="9120" w:type="dxa"/>
            <w:vAlign w:val="bottom"/>
            <w:tcBorders>
              <w:bottom w:val="single" w:sz="8" w:color="0000EE"/>
            </w:tcBorders>
            <w:gridSpan w:val="10"/>
          </w:tcPr>
          <w:p>
            <w:pPr>
              <w:spacing w:after="0"/>
              <w:rPr>
                <w:rFonts w:ascii="Arial" w:cs="Arial" w:eastAsia="Arial" w:hAnsi="Arial"/>
                <w:sz w:val="18"/>
                <w:szCs w:val="18"/>
                <w:color w:val="0000EE"/>
                <w:w w:val="88"/>
              </w:rPr>
            </w:pPr>
            <w:hyperlink r:id="rId64">
              <w:r>
                <w:rPr>
                  <w:rFonts w:ascii="Arial" w:cs="Arial" w:eastAsia="Arial" w:hAnsi="Arial"/>
                  <w:sz w:val="18"/>
                  <w:szCs w:val="18"/>
                  <w:color w:val="0000EE"/>
                  <w:w w:val="88"/>
                </w:rPr>
                <w:t>Indenture, dated as of September 21, 2017, between ViaSat, Inc. and Wilmington Trust, National Association, as trustee (which is</w:t>
              </w:r>
            </w:hyperlink>
          </w:p>
        </w:tc>
        <w:tc>
          <w:tcPr>
            <w:tcW w:w="2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5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64">
              <w:r>
                <w:rPr>
                  <w:rFonts w:ascii="Arial" w:cs="Arial" w:eastAsia="Arial" w:hAnsi="Arial"/>
                  <w:sz w:val="18"/>
                  <w:szCs w:val="18"/>
                  <w:color w:val="0000EE"/>
                  <w:w w:val="89"/>
                </w:rPr>
                <w:t>incorporated by reference to Exhibit 4.1 to the Registrant’s Form 8-K filed with the Commission on September 21, 2017)</w:t>
              </w:r>
            </w:hyperlink>
          </w:p>
        </w:tc>
        <w:tc>
          <w:tcPr>
            <w:tcW w:w="620" w:type="dxa"/>
            <w:vAlign w:val="bottom"/>
            <w:gridSpan w:val="4"/>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10.1#</w:t>
            </w:r>
          </w:p>
        </w:tc>
        <w:tc>
          <w:tcPr>
            <w:tcW w:w="880" w:type="dxa"/>
            <w:vAlign w:val="bottom"/>
          </w:tcPr>
          <w:p>
            <w:pPr>
              <w:spacing w:after="0"/>
              <w:rPr>
                <w:sz w:val="24"/>
                <w:szCs w:val="24"/>
                <w:color w:val="auto"/>
              </w:rPr>
            </w:pPr>
          </w:p>
        </w:tc>
        <w:tc>
          <w:tcPr>
            <w:tcW w:w="9140" w:type="dxa"/>
            <w:vAlign w:val="bottom"/>
            <w:gridSpan w:val="11"/>
          </w:tcPr>
          <w:p>
            <w:pPr>
              <w:spacing w:after="0"/>
              <w:rPr>
                <w:rFonts w:ascii="Arial" w:cs="Arial" w:eastAsia="Arial" w:hAnsi="Arial"/>
                <w:sz w:val="18"/>
                <w:szCs w:val="18"/>
                <w:color w:val="0000EE"/>
                <w:w w:val="89"/>
              </w:rPr>
            </w:pPr>
            <w:hyperlink r:id="rId65">
              <w:r>
                <w:rPr>
                  <w:rFonts w:ascii="Arial" w:cs="Arial" w:eastAsia="Arial" w:hAnsi="Arial"/>
                  <w:sz w:val="18"/>
                  <w:szCs w:val="18"/>
                  <w:color w:val="0000EE"/>
                  <w:w w:val="89"/>
                </w:rPr>
                <w:t>ViaSat, Inc. Employee Stock Purchase Plan (As Amended and Restated Effective September 7, 2017) (which is incorporated by</w:t>
              </w:r>
            </w:hyperlink>
          </w:p>
        </w:tc>
      </w:tr>
      <w:tr>
        <w:trPr>
          <w:trHeight w:val="196"/>
        </w:trPr>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3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r:id="rId65">
              <w:r>
                <w:rPr>
                  <w:rFonts w:ascii="Arial" w:cs="Arial" w:eastAsia="Arial" w:hAnsi="Arial"/>
                  <w:sz w:val="18"/>
                  <w:szCs w:val="18"/>
                  <w:color w:val="0000EE"/>
                  <w:w w:val="89"/>
                </w:rPr>
                <w:t>reference to Exhibit 10.1 to the Registrant’s Form 8-K filed with the Commission on September 8, 2017)</w:t>
              </w:r>
            </w:hyperlink>
          </w:p>
        </w:tc>
        <w:tc>
          <w:tcPr>
            <w:tcW w:w="1600" w:type="dxa"/>
            <w:vAlign w:val="bottom"/>
            <w:tcBorders>
              <w:top w:val="single" w:sz="8" w:color="0000EE"/>
            </w:tcBorders>
            <w:gridSpan w:val="3"/>
          </w:tcPr>
          <w:p>
            <w:pPr>
              <w:spacing w:after="0"/>
              <w:rPr>
                <w:sz w:val="17"/>
                <w:szCs w:val="17"/>
                <w:color w:val="auto"/>
              </w:rPr>
            </w:pPr>
          </w:p>
        </w:tc>
        <w:tc>
          <w:tcPr>
            <w:tcW w:w="160" w:type="dxa"/>
            <w:vAlign w:val="bottom"/>
            <w:gridSpan w:val="2"/>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10.2#</w:t>
            </w:r>
          </w:p>
        </w:tc>
        <w:tc>
          <w:tcPr>
            <w:tcW w:w="880" w:type="dxa"/>
            <w:vAlign w:val="bottom"/>
          </w:tcPr>
          <w:p>
            <w:pPr>
              <w:spacing w:after="0"/>
              <w:rPr>
                <w:sz w:val="24"/>
                <w:szCs w:val="24"/>
                <w:color w:val="auto"/>
              </w:rPr>
            </w:pPr>
          </w:p>
        </w:tc>
        <w:tc>
          <w:tcPr>
            <w:tcW w:w="9140" w:type="dxa"/>
            <w:vAlign w:val="bottom"/>
            <w:tcBorders>
              <w:bottom w:val="single" w:sz="8" w:color="0000EE"/>
            </w:tcBorders>
            <w:gridSpan w:val="11"/>
          </w:tcPr>
          <w:p>
            <w:pPr>
              <w:spacing w:after="0"/>
              <w:rPr>
                <w:rFonts w:ascii="Arial" w:cs="Arial" w:eastAsia="Arial" w:hAnsi="Arial"/>
                <w:sz w:val="18"/>
                <w:szCs w:val="18"/>
                <w:color w:val="0000EE"/>
                <w:w w:val="88"/>
              </w:rPr>
            </w:pPr>
            <w:hyperlink r:id="rId66">
              <w:r>
                <w:rPr>
                  <w:rFonts w:ascii="Arial" w:cs="Arial" w:eastAsia="Arial" w:hAnsi="Arial"/>
                  <w:sz w:val="18"/>
                  <w:szCs w:val="18"/>
                  <w:color w:val="0000EE"/>
                  <w:w w:val="88"/>
                </w:rPr>
                <w:t>1996 Equity Participation Plan of ViaSat, Inc. (As Amended and Restated Effective September 7, 2017) (which is incorporated by</w:t>
              </w:r>
            </w:hyperlink>
          </w:p>
        </w:tc>
      </w:tr>
      <w:tr>
        <w:trPr>
          <w:trHeight w:val="196"/>
        </w:trPr>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140" w:type="dxa"/>
            <w:vAlign w:val="bottom"/>
            <w:gridSpan w:val="11"/>
          </w:tcPr>
          <w:p>
            <w:pPr>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reference to Exhibit 10.2 to the Registrant’s Form 8-K filed with the Commission on September 8, 2017)</w:t>
              </w:r>
            </w:hyperlink>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880" w:type="dxa"/>
            <w:vAlign w:val="bottom"/>
          </w:tcPr>
          <w:p>
            <w:pPr>
              <w:spacing w:after="0"/>
              <w:rPr>
                <w:sz w:val="24"/>
                <w:szCs w:val="24"/>
                <w:color w:val="auto"/>
              </w:rPr>
            </w:pPr>
          </w:p>
        </w:tc>
        <w:tc>
          <w:tcPr>
            <w:tcW w:w="71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Certification of Chief Executive Officer Pursuant to Section 302 of the Sarbanes-Oxley Act of 2002*</w:t>
              </w:r>
            </w:hyperlink>
          </w:p>
        </w:tc>
        <w:tc>
          <w:tcPr>
            <w:tcW w:w="240" w:type="dxa"/>
            <w:vAlign w:val="bottom"/>
            <w:tcBorders>
              <w:top w:val="single" w:sz="8" w:color="0000EE"/>
            </w:tcBorders>
          </w:tcPr>
          <w:p>
            <w:pPr>
              <w:spacing w:after="0"/>
              <w:rPr>
                <w:sz w:val="24"/>
                <w:szCs w:val="24"/>
                <w:color w:val="auto"/>
              </w:rPr>
            </w:pPr>
          </w:p>
        </w:tc>
        <w:tc>
          <w:tcPr>
            <w:tcW w:w="1780" w:type="dxa"/>
            <w:vAlign w:val="bottom"/>
            <w:gridSpan w:val="6"/>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880" w:type="dxa"/>
            <w:vAlign w:val="bottom"/>
          </w:tcPr>
          <w:p>
            <w:pPr>
              <w:spacing w:after="0"/>
              <w:rPr>
                <w:sz w:val="24"/>
                <w:szCs w:val="24"/>
                <w:color w:val="auto"/>
              </w:rPr>
            </w:pPr>
          </w:p>
        </w:tc>
        <w:tc>
          <w:tcPr>
            <w:tcW w:w="9140" w:type="dxa"/>
            <w:vAlign w:val="bottom"/>
            <w:gridSpan w:val="11"/>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Certification of Chief Financial Officer Pursuant to Section 302 of the Sarbanes-Oxley Act of 2002*</w:t>
              </w:r>
            </w:hyperlink>
          </w:p>
        </w:tc>
      </w:tr>
      <w:tr>
        <w:trPr>
          <w:trHeight w:val="20"/>
        </w:trPr>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60" w:type="dxa"/>
            <w:vAlign w:val="bottom"/>
            <w:gridSpan w:val="3"/>
            <w:shd w:val="clear" w:color="auto" w:fill="0000EE"/>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880" w:type="dxa"/>
            <w:vAlign w:val="bottom"/>
          </w:tcPr>
          <w:p>
            <w:pPr>
              <w:spacing w:after="0"/>
              <w:rPr>
                <w:sz w:val="24"/>
                <w:szCs w:val="24"/>
                <w:color w:val="auto"/>
              </w:rPr>
            </w:pPr>
          </w:p>
        </w:tc>
        <w:tc>
          <w:tcPr>
            <w:tcW w:w="9140" w:type="dxa"/>
            <w:vAlign w:val="bottom"/>
            <w:gridSpan w:val="11"/>
          </w:tcPr>
          <w:p>
            <w:pPr>
              <w:spacing w:after="0"/>
              <w:rPr>
                <w:rFonts w:ascii="Arial" w:cs="Arial" w:eastAsia="Arial" w:hAnsi="Arial"/>
                <w:sz w:val="18"/>
                <w:szCs w:val="18"/>
                <w:color w:val="0000EE"/>
                <w:w w:val="93"/>
              </w:rPr>
            </w:pPr>
            <w:hyperlink w:anchor="page53">
              <w:r>
                <w:rPr>
                  <w:rFonts w:ascii="Arial" w:cs="Arial" w:eastAsia="Arial" w:hAnsi="Arial"/>
                  <w:sz w:val="18"/>
                  <w:szCs w:val="18"/>
                  <w:color w:val="0000EE"/>
                  <w:w w:val="93"/>
                </w:rPr>
                <w:t>Certifications Pursuant to 18 U.S.C. Section 1350, as Adopted Pursuant to Section 906 of the Sarbanes-Oxley Act of 2002*</w:t>
              </w:r>
            </w:hyperlink>
          </w:p>
        </w:tc>
      </w:tr>
      <w:tr>
        <w:trPr>
          <w:trHeight w:val="343"/>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880" w:type="dxa"/>
            <w:vAlign w:val="bottom"/>
          </w:tcPr>
          <w:p>
            <w:pPr>
              <w:spacing w:after="0"/>
              <w:rPr>
                <w:sz w:val="24"/>
                <w:szCs w:val="24"/>
                <w:color w:val="auto"/>
              </w:rPr>
            </w:pPr>
          </w:p>
        </w:tc>
        <w:tc>
          <w:tcPr>
            <w:tcW w:w="868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auto"/>
              </w:rPr>
              <w:t>XBRL Instance Document*</w:t>
            </w:r>
          </w:p>
        </w:tc>
        <w:tc>
          <w:tcPr>
            <w:tcW w:w="460" w:type="dxa"/>
            <w:vAlign w:val="bottom"/>
            <w:gridSpan w:val="3"/>
          </w:tcPr>
          <w:p>
            <w:pPr>
              <w:spacing w:after="0"/>
              <w:rPr>
                <w:sz w:val="24"/>
                <w:szCs w:val="24"/>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880" w:type="dxa"/>
            <w:vAlign w:val="bottom"/>
          </w:tcPr>
          <w:p>
            <w:pPr>
              <w:spacing w:after="0"/>
              <w:rPr>
                <w:sz w:val="24"/>
                <w:szCs w:val="24"/>
                <w:color w:val="auto"/>
              </w:rPr>
            </w:pPr>
          </w:p>
        </w:tc>
        <w:tc>
          <w:tcPr>
            <w:tcW w:w="9140" w:type="dxa"/>
            <w:vAlign w:val="bottom"/>
            <w:gridSpan w:val="11"/>
          </w:tcPr>
          <w:p>
            <w:pPr>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880" w:type="dxa"/>
            <w:vAlign w:val="bottom"/>
          </w:tcPr>
          <w:p>
            <w:pPr>
              <w:spacing w:after="0"/>
              <w:rPr>
                <w:sz w:val="24"/>
                <w:szCs w:val="24"/>
                <w:color w:val="auto"/>
              </w:rPr>
            </w:pPr>
          </w:p>
        </w:tc>
        <w:tc>
          <w:tcPr>
            <w:tcW w:w="914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880" w:type="dxa"/>
            <w:vAlign w:val="bottom"/>
          </w:tcPr>
          <w:p>
            <w:pPr>
              <w:spacing w:after="0"/>
              <w:rPr>
                <w:sz w:val="24"/>
                <w:szCs w:val="24"/>
                <w:color w:val="auto"/>
              </w:rPr>
            </w:pPr>
          </w:p>
        </w:tc>
        <w:tc>
          <w:tcPr>
            <w:tcW w:w="914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880" w:type="dxa"/>
            <w:vAlign w:val="bottom"/>
          </w:tcPr>
          <w:p>
            <w:pPr>
              <w:spacing w:after="0"/>
              <w:rPr>
                <w:sz w:val="24"/>
                <w:szCs w:val="24"/>
                <w:color w:val="auto"/>
              </w:rPr>
            </w:pPr>
          </w:p>
        </w:tc>
        <w:tc>
          <w:tcPr>
            <w:tcW w:w="9140" w:type="dxa"/>
            <w:vAlign w:val="bottom"/>
            <w:gridSpan w:val="11"/>
          </w:tcPr>
          <w:p>
            <w:pPr>
              <w:spacing w:after="0"/>
              <w:rPr>
                <w:sz w:val="20"/>
                <w:szCs w:val="20"/>
                <w:color w:val="auto"/>
              </w:rPr>
            </w:pPr>
            <w:r>
              <w:rPr>
                <w:rFonts w:ascii="Arial" w:cs="Arial" w:eastAsia="Arial" w:hAnsi="Arial"/>
                <w:sz w:val="18"/>
                <w:szCs w:val="18"/>
                <w:color w:val="auto"/>
              </w:rPr>
              <w:t>XBRL Taxonomy Extension Labels Linkbase*</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880" w:type="dxa"/>
            <w:vAlign w:val="bottom"/>
          </w:tcPr>
          <w:p>
            <w:pPr>
              <w:spacing w:after="0"/>
              <w:rPr>
                <w:sz w:val="24"/>
                <w:szCs w:val="24"/>
                <w:color w:val="auto"/>
              </w:rPr>
            </w:pPr>
          </w:p>
        </w:tc>
        <w:tc>
          <w:tcPr>
            <w:tcW w:w="914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7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Indicates management contract, compensatory plan or arrangement.</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20"/>
          </w:cols>
          <w:pgMar w:left="240" w:top="459"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VIASAT, INC.</w:t>
      </w:r>
    </w:p>
    <w:p>
      <w:pPr>
        <w:spacing w:after="0" w:line="225"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November 8, 2017</w:t>
      </w:r>
      <w:r>
        <w:rPr>
          <w:sz w:val="20"/>
          <w:szCs w:val="20"/>
          <w:color w:val="auto"/>
        </w:rPr>
        <w:tab/>
      </w: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Mark Dankberg</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23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HAWN</w:t>
      </w:r>
      <w:r>
        <w:rPr>
          <w:rFonts w:ascii="Arial" w:cs="Arial" w:eastAsia="Arial" w:hAnsi="Arial"/>
          <w:sz w:val="18"/>
          <w:szCs w:val="18"/>
          <w:color w:val="auto"/>
        </w:rPr>
        <w:t xml:space="preserve"> D</w:t>
      </w:r>
      <w:r>
        <w:rPr>
          <w:rFonts w:ascii="Arial" w:cs="Arial" w:eastAsia="Arial" w:hAnsi="Arial"/>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Shawn Duffy</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500"/>
          </w:cols>
          <w:pgMar w:left="240" w:top="459" w:right="115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Dankberg, Chief Executive Officer of ViaSat, Inc., certify that:</w:t>
      </w:r>
    </w:p>
    <w:p>
      <w:pPr>
        <w:spacing w:after="0" w:line="131"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color w:val="auto"/>
        </w:rPr>
        <w:t>Date: November 8, 2017</w:t>
      </w:r>
      <w:r>
        <w:rPr>
          <w:sz w:val="20"/>
          <w:szCs w:val="20"/>
          <w:color w:val="auto"/>
        </w:rPr>
        <w:tab/>
      </w:r>
      <w:r>
        <w:rPr>
          <w:rFonts w:ascii="Arial" w:cs="Arial" w:eastAsia="Arial" w:hAnsi="Arial"/>
          <w:sz w:val="17"/>
          <w:szCs w:val="17"/>
          <w:color w:val="auto"/>
        </w:rPr>
        <w:t>/s/ M</w:t>
      </w:r>
      <w:r>
        <w:rPr>
          <w:rFonts w:ascii="Arial" w:cs="Arial" w:eastAsia="Arial" w:hAnsi="Arial"/>
          <w:sz w:val="14"/>
          <w:szCs w:val="14"/>
          <w:color w:val="auto"/>
        </w:rPr>
        <w:t>ARK</w:t>
      </w:r>
      <w:r>
        <w:rPr>
          <w:rFonts w:ascii="Arial" w:cs="Arial" w:eastAsia="Arial" w:hAnsi="Arial"/>
          <w:sz w:val="17"/>
          <w:szCs w:val="17"/>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Mark Dankberg</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Shawn Duffy, Chief Financial Officer of ViaSat, Inc., certify that:</w:t>
      </w:r>
    </w:p>
    <w:p>
      <w:pPr>
        <w:spacing w:after="0" w:line="131"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color w:val="auto"/>
        </w:rPr>
        <w:t>Date: November 8, 2017</w:t>
      </w:r>
      <w:r>
        <w:rPr>
          <w:sz w:val="20"/>
          <w:szCs w:val="20"/>
          <w:color w:val="auto"/>
        </w:rPr>
        <w:tab/>
      </w:r>
      <w:r>
        <w:rPr>
          <w:rFonts w:ascii="Arial" w:cs="Arial" w:eastAsia="Arial" w:hAnsi="Arial"/>
          <w:sz w:val="17"/>
          <w:szCs w:val="17"/>
          <w:color w:val="auto"/>
        </w:rPr>
        <w:t>/s/ S</w:t>
      </w:r>
      <w:r>
        <w:rPr>
          <w:rFonts w:ascii="Arial" w:cs="Arial" w:eastAsia="Arial" w:hAnsi="Arial"/>
          <w:sz w:val="14"/>
          <w:szCs w:val="14"/>
          <w:color w:val="auto"/>
        </w:rPr>
        <w:t>HAWN</w:t>
      </w:r>
      <w:r>
        <w:rPr>
          <w:rFonts w:ascii="Arial" w:cs="Arial" w:eastAsia="Arial" w:hAnsi="Arial"/>
          <w:sz w:val="17"/>
          <w:szCs w:val="17"/>
          <w:color w:val="auto"/>
        </w:rPr>
        <w:t xml:space="preserve"> D</w:t>
      </w:r>
      <w:r>
        <w:rPr>
          <w:rFonts w:ascii="Arial" w:cs="Arial" w:eastAsia="Arial" w:hAnsi="Arial"/>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Shawn Duffy</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170" w:lineRule="exact"/>
        <w:rPr>
          <w:sz w:val="20"/>
          <w:szCs w:val="20"/>
          <w:color w:val="auto"/>
        </w:rPr>
      </w:pPr>
    </w:p>
    <w:p>
      <w:pPr>
        <w:ind w:right="100" w:firstLine="464"/>
        <w:spacing w:after="0" w:line="308" w:lineRule="auto"/>
        <w:tabs>
          <w:tab w:leader="none" w:pos="701"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quarterly period ended September 30, 2017 (the “Report”) fully complies with the requirements of Section 13(a) or Section 15(d), as applicable, of the Securities Exchange Act of 1934, as amended; and</w:t>
      </w:r>
    </w:p>
    <w:p>
      <w:pPr>
        <w:spacing w:after="0" w:line="146" w:lineRule="exact"/>
        <w:rPr>
          <w:rFonts w:ascii="Arial" w:cs="Arial" w:eastAsia="Arial" w:hAnsi="Arial"/>
          <w:sz w:val="17"/>
          <w:szCs w:val="17"/>
          <w:color w:val="auto"/>
        </w:rPr>
      </w:pPr>
    </w:p>
    <w:p>
      <w:pPr>
        <w:ind w:left="720" w:hanging="256"/>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color w:val="auto"/>
        </w:rPr>
        <w:t>Date: November 8, 2017</w:t>
      </w:r>
      <w:r>
        <w:rPr>
          <w:sz w:val="20"/>
          <w:szCs w:val="20"/>
          <w:color w:val="auto"/>
        </w:rPr>
        <w:tab/>
      </w:r>
      <w:r>
        <w:rPr>
          <w:rFonts w:ascii="Arial" w:cs="Arial" w:eastAsia="Arial" w:hAnsi="Arial"/>
          <w:sz w:val="17"/>
          <w:szCs w:val="17"/>
          <w:color w:val="auto"/>
        </w:rPr>
        <w:t>/s/ M</w:t>
      </w:r>
      <w:r>
        <w:rPr>
          <w:rFonts w:ascii="Arial" w:cs="Arial" w:eastAsia="Arial" w:hAnsi="Arial"/>
          <w:sz w:val="14"/>
          <w:szCs w:val="14"/>
          <w:color w:val="auto"/>
        </w:rPr>
        <w:t>ARK</w:t>
      </w:r>
      <w:r>
        <w:rPr>
          <w:rFonts w:ascii="Arial" w:cs="Arial" w:eastAsia="Arial" w:hAnsi="Arial"/>
          <w:sz w:val="17"/>
          <w:szCs w:val="17"/>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Mark Dankberg</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170" w:lineRule="exact"/>
        <w:rPr>
          <w:sz w:val="20"/>
          <w:szCs w:val="20"/>
          <w:color w:val="auto"/>
        </w:rPr>
      </w:pPr>
    </w:p>
    <w:p>
      <w:pPr>
        <w:ind w:right="100" w:firstLine="464"/>
        <w:spacing w:after="0" w:line="308" w:lineRule="auto"/>
        <w:tabs>
          <w:tab w:leader="none" w:pos="701"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quarterly period ended September 30, 2017 (the “Report”) fully complies with the requirements of Section 13(a) or Section 15(d), as applicable, of the Securities Exchange Act of 1934, as amended; and</w:t>
      </w:r>
    </w:p>
    <w:p>
      <w:pPr>
        <w:spacing w:after="0" w:line="146" w:lineRule="exact"/>
        <w:rPr>
          <w:rFonts w:ascii="Arial" w:cs="Arial" w:eastAsia="Arial" w:hAnsi="Arial"/>
          <w:sz w:val="17"/>
          <w:szCs w:val="17"/>
          <w:color w:val="auto"/>
        </w:rPr>
      </w:pPr>
    </w:p>
    <w:p>
      <w:pPr>
        <w:ind w:left="720" w:hanging="256"/>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color w:val="auto"/>
        </w:rPr>
        <w:t>Date: November 8, 2017</w:t>
      </w:r>
      <w:r>
        <w:rPr>
          <w:sz w:val="20"/>
          <w:szCs w:val="20"/>
          <w:color w:val="auto"/>
        </w:rPr>
        <w:tab/>
      </w:r>
      <w:r>
        <w:rPr>
          <w:rFonts w:ascii="Arial" w:cs="Arial" w:eastAsia="Arial" w:hAnsi="Arial"/>
          <w:sz w:val="17"/>
          <w:szCs w:val="17"/>
          <w:color w:val="auto"/>
        </w:rPr>
        <w:t>/s/ S</w:t>
      </w:r>
      <w:r>
        <w:rPr>
          <w:rFonts w:ascii="Arial" w:cs="Arial" w:eastAsia="Arial" w:hAnsi="Arial"/>
          <w:sz w:val="14"/>
          <w:szCs w:val="14"/>
          <w:color w:val="auto"/>
        </w:rPr>
        <w:t>HAWN</w:t>
      </w:r>
      <w:r>
        <w:rPr>
          <w:rFonts w:ascii="Arial" w:cs="Arial" w:eastAsia="Arial" w:hAnsi="Arial"/>
          <w:sz w:val="17"/>
          <w:szCs w:val="17"/>
          <w:color w:val="auto"/>
        </w:rPr>
        <w:t xml:space="preserve"> D</w:t>
      </w:r>
      <w:r>
        <w:rPr>
          <w:rFonts w:ascii="Arial" w:cs="Arial" w:eastAsia="Arial" w:hAnsi="Arial"/>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Shawn Duffy</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64" Type="http://schemas.openxmlformats.org/officeDocument/2006/relationships/hyperlink" Target="http://www.sec.gov/Archives/edgar/data/797721/000119312517290459/d414724dex41.htm" TargetMode="External"/><Relationship Id="rId65" Type="http://schemas.openxmlformats.org/officeDocument/2006/relationships/hyperlink" Target="http://www.sec.gov/Archives/edgar/data/797721/000119312517280727/d455251dex101.htm" TargetMode="External"/><Relationship Id="rId66" Type="http://schemas.openxmlformats.org/officeDocument/2006/relationships/hyperlink" Target="http://www.sec.gov/Archives/edgar/data/797721/000119312517280727/d455251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2019-12-29T03:14:56Z</dcterms:created>
  <dcterms:modified xsi:type="dcterms:W3CDTF">2019-12-29T03:14:56Z</dcterms:modified>
</cp:coreProperties>
</file>