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sat-20250630.htm"/>
      <w:bookmarkStart w:id="1" w:name="ksvsat20250630"/>
      <w:bookmarkEnd w:id="0"/>
      <w:bookmarkEnd w:id="1"/>
      <w:r>
        <w:rPr/>
        <w:t> </w:t>
      </w:r>
    </w:p>
    <w:p>
      <w:pPr>
        <w:pStyle w:val="TextBody"/>
        <w:bidi w:val="0"/>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Arial" w:hAnsi="Arial"/>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 June 30, 2025.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Commission File Number (000-21767)</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Arial" w:hAnsi="Arial"/>
          <w:b/>
          <w:color w:val="000000"/>
          <w:sz w:val="48"/>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33-0174996</w:t>
            </w:r>
          </w:p>
        </w:tc>
      </w:tr>
      <w:tr>
        <w:trPr/>
        <w:tc>
          <w:tcPr>
            <w:tcW w:w="252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6155 El Camino Real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Carlsbad, California</w:t>
      </w:r>
      <w:r>
        <w:rPr>
          <w:rFonts w:ascii="Times New Roman" w:hAnsi="Times New Roman"/>
          <w:color w:val="000000"/>
          <w:sz w:val="20"/>
        </w:rPr>
        <w:t xml:space="preserve"> </w:t>
      </w:r>
      <w:r>
        <w:rPr>
          <w:rFonts w:ascii="Arial" w:hAnsi="Arial"/>
          <w:b/>
          <w:color w:val="000000"/>
          <w:sz w:val="20"/>
        </w:rPr>
        <w:t>92009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(760) 476-2200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(Address of principal executive offices and telephone number)</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3916"/>
        <w:gridCol w:w="146"/>
        <w:gridCol w:w="1486"/>
        <w:gridCol w:w="146"/>
        <w:gridCol w:w="387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VSAT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41" w:type="dxa"/>
        <w:jc w:val="left"/>
        <w:tblInd w:w="0" w:type="dxa"/>
        <w:tblLayout w:type="fixed"/>
        <w:tblCellMar>
          <w:top w:w="28" w:type="dxa"/>
          <w:left w:w="28" w:type="dxa"/>
          <w:bottom w:w="28" w:type="dxa"/>
          <w:right w:w="28" w:type="dxa"/>
        </w:tblCellMar>
      </w:tblPr>
      <w:tblGrid>
        <w:gridCol w:w="2041"/>
        <w:gridCol w:w="316"/>
        <w:gridCol w:w="14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The number of shares outstanding of the registrant’s common stock, $0.0001 par value, as of July 25, 2025</w:t>
      </w:r>
      <w:r>
        <w:rPr>
          <w:rFonts w:ascii="Times New Roman" w:hAnsi="Times New Roman"/>
          <w:color w:val="000000"/>
          <w:sz w:val="20"/>
        </w:rPr>
        <w:t xml:space="preserve"> </w:t>
      </w:r>
      <w:r>
        <w:rPr>
          <w:rFonts w:ascii="Arial" w:hAnsi="Arial"/>
          <w:color w:val="000000"/>
          <w:sz w:val="18"/>
        </w:rPr>
        <w:t>was 134,262,856.</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8536"/>
        <w:gridCol w:w="146"/>
        <w:gridCol w:w="746"/>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balance_sheets">
              <w:r>
                <w:rPr>
                  <w:rStyle w:val="InternetLink"/>
                  <w:rFonts w:ascii="Arial" w:hAnsi="Arial"/>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operat">
              <w:r>
                <w:rPr>
                  <w:rStyle w:val="InternetLink"/>
                  <w:rFonts w:ascii="Arial" w:hAnsi="Arial"/>
                  <w:color w:val="0000FF"/>
                  <w:sz w:val="20"/>
                  <w:u w:val="single"/>
                </w:rPr>
                <w:t>Condensed Consolidated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4</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5</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_equity">
              <w:r>
                <w:rPr>
                  <w:rStyle w:val="InternetLink"/>
                  <w:rFonts w:ascii="Arial" w:hAnsi="Arial"/>
                  <w:color w:val="0000FF"/>
                  <w:sz w:val="20"/>
                  <w:u w:val="single"/>
                </w:rPr>
                <w:t>Condensed Consolidated Statements of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6</w:t>
            </w:r>
          </w:p>
        </w:tc>
      </w:tr>
      <w:tr>
        <w:trPr/>
        <w:tc>
          <w:tcPr>
            <w:tcW w:w="85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consolidated_financia">
              <w:r>
                <w:rPr>
                  <w:rStyle w:val="InternetLink"/>
                  <w:rFonts w:ascii="Arial" w:hAnsi="Arial"/>
                  <w:color w:val="0000FF"/>
                  <w:sz w:val="20"/>
                  <w:u w:val="single"/>
                </w:rPr>
                <w:t>Notes to the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w:hAnsi="Arial"/>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Arial" w:hAnsi="Arial"/>
          <w:b/>
          <w:color w:val="000000"/>
          <w:sz w:val="20"/>
        </w:rPr>
        <w:t>PART I —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bookmarkStart w:id="3" w:name="item_1_financial_statements_unaudited"/>
      <w:bookmarkEnd w:id="3"/>
      <w:r>
        <w:rPr>
          <w:rFonts w:ascii="Arial" w:hAnsi="Arial"/>
          <w:b/>
          <w:color w:val="000000"/>
          <w:sz w:val="20"/>
        </w:rPr>
        <w:t>Item 1. Financial Statements (Unaudited)</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4646"/>
        <w:gridCol w:w="146"/>
        <w:gridCol w:w="211"/>
        <w:gridCol w:w="1066"/>
        <w:gridCol w:w="166"/>
        <w:gridCol w:w="146"/>
        <w:gridCol w:w="215"/>
        <w:gridCol w:w="1090"/>
        <w:gridCol w:w="4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1,612,105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699,552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282,343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2,455,805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2,887,943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7,339,470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7,405,664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416,490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2,191,774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2,270,777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1,622,132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845,778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14,895,806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15,448,784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908,529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1,676,654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3,655,874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3,652,882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2,876,741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2,879,402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414,133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2,166,448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2,181,153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10,293,834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10,804,224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Commitments and contingencies</w:t>
            </w:r>
            <w:r>
              <w:rPr>
                <w:rFonts w:ascii="Times New Roman" w:hAnsi="Times New Roman"/>
                <w:color w:val="000000"/>
                <w:sz w:val="20"/>
              </w:rPr>
              <w:t> </w:t>
            </w:r>
            <w:r>
              <w:rPr>
                <w:rFonts w:ascii="Arial" w:hAnsi="Arial"/>
                <w:b/>
                <w:color w:val="000000"/>
                <w:sz w:val="20"/>
              </w:rP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4,965,831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4,926,259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(325,530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Viasat,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4,562,228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4,553,831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Noncontrolling interest in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90,729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4,601,972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4,644,560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14,895,806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15,448,784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723" w:type="dxa"/>
        <w:jc w:val="left"/>
        <w:tblInd w:w="0" w:type="dxa"/>
        <w:tblLayout w:type="fixed"/>
        <w:tblCellMar>
          <w:top w:w="28" w:type="dxa"/>
          <w:left w:w="28" w:type="dxa"/>
          <w:bottom w:w="28" w:type="dxa"/>
          <w:right w:w="28" w:type="dxa"/>
        </w:tblCellMar>
      </w:tblPr>
      <w:tblGrid>
        <w:gridCol w:w="5881"/>
        <w:gridCol w:w="146"/>
        <w:gridCol w:w="243"/>
        <w:gridCol w:w="1107"/>
        <w:gridCol w:w="191"/>
        <w:gridCol w:w="168"/>
        <w:gridCol w:w="243"/>
        <w:gridCol w:w="1107"/>
        <w:gridCol w:w="166"/>
        <w:gridCol w:w="47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826,370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344,684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1,171,054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528,234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262,832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income (loss) of unconsolidated affiliate,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net income (loss) attributable to</w:t>
              <w:br/>
              <w:t>   noncontrolling interest,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net income (loss) per share attributable</w:t>
              <w:br/>
              <w:t>   to Viasat,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net income (loss) per share attributable</w:t>
              <w:br/>
              <w:t>   to Viasat, Inc.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Shares used in computing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131,578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(loss) on hedging,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comprehensive income (loss) attributable</w:t>
              <w:br/>
              <w:t>   to noncontrolling interest,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(loss) attributable to Viasat,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ash_f"/>
      <w:bookmarkEnd w:id="6"/>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2"/>
        <w:gridCol w:w="146"/>
        <w:gridCol w:w="211"/>
        <w:gridCol w:w="961"/>
        <w:gridCol w:w="166"/>
        <w:gridCol w:w="146"/>
        <w:gridCol w:w="211"/>
        <w:gridCol w:w="961"/>
        <w:gridCol w:w="911"/>
      </w:tblGrid>
      <w:tr>
        <w:trPr/>
        <w:tc>
          <w:tcPr>
            <w:tcW w:w="6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(21,687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249,800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81,404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19,182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income taxes and other non-cash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disposition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19,778</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Increase (decrease) in cash resulting from changes in operating</w:t>
              <w:br/>
              <w: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(26,224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(11,888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13,581</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(28,529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(110,114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(43,594</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151,096</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property, equipment and satellites,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(301,019</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insurance claims on satellites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79,500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(221,519</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on debt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common stock in treasury (immediately retired) related</w:t>
              <w:br/>
              <w:t>   to tax withholdings for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Distributions to minority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(22,453</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3,442</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(89,434</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1,901,033</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1,811,599</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 in satisfaction of certain accrued</w:t>
              <w:br/>
              <w:t>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28,063</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Right-of-use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expenditures not paid for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sz w:val="20"/>
        </w:rPr>
      </w:pPr>
      <w:r>
        <w:rPr>
          <w:rFonts w:ascii="Arial" w:hAnsi="Arial"/>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_equity"/>
      <w:bookmarkEnd w:id="7"/>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9"/>
        <w:gridCol w:w="146"/>
        <w:gridCol w:w="146"/>
        <w:gridCol w:w="871"/>
        <w:gridCol w:w="146"/>
        <w:gridCol w:w="146"/>
        <w:gridCol w:w="181"/>
        <w:gridCol w:w="346"/>
        <w:gridCol w:w="146"/>
        <w:gridCol w:w="146"/>
        <w:gridCol w:w="181"/>
        <w:gridCol w:w="721"/>
        <w:gridCol w:w="151"/>
        <w:gridCol w:w="146"/>
        <w:gridCol w:w="217"/>
        <w:gridCol w:w="774"/>
        <w:gridCol w:w="151"/>
        <w:gridCol w:w="146"/>
        <w:gridCol w:w="213"/>
        <w:gridCol w:w="673"/>
        <w:gridCol w:w="151"/>
        <w:gridCol w:w="146"/>
        <w:gridCol w:w="198"/>
        <w:gridCol w:w="628"/>
        <w:gridCol w:w="151"/>
        <w:gridCol w:w="146"/>
        <w:gridCol w:w="181"/>
        <w:gridCol w:w="721"/>
        <w:gridCol w:w="197"/>
      </w:tblGrid>
      <w:tr>
        <w:trPr/>
        <w:tc>
          <w:tcPr>
            <w:tcW w:w="2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0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Retained</w:t>
              <w:br/>
              <w:t>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Total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3"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 except share data)</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130,210,407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4,926,259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(325,530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4,644,560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16,456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w:t>
              <w:br/>
              <w:t>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3,125,378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27,784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RSU and PSU awards vesting, net of shares</w:t>
              <w:br/>
              <w:t>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848,807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(4,668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Distributions declared to minority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(59,695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(56,434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(47,724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25,259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25,259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134,184,592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4,965,831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(381,964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(21,652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39,744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4,601,972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125,849,088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4,797,253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249,432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(21,268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47,074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5,072,504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21,171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w:t>
              <w:br/>
              <w:t>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28,063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28,063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RSU awards vesting, net of shares</w:t>
              <w:br/>
              <w:t>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(1,415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(32,912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(21,687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(10,983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0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127,738,637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4,845,072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216,520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58,299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5,087,653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_financia"/>
      <w:bookmarkEnd w:id="8"/>
      <w:r>
        <w:rPr>
          <w:rFonts w:ascii="Arial" w:hAnsi="Arial"/>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Note 1 — Basis of Presentation</w:t>
      </w:r>
    </w:p>
    <w:p>
      <w:pPr>
        <w:pStyle w:val="TextBody"/>
        <w:bidi w:val="0"/>
        <w:spacing w:before="80" w:after="283"/>
        <w:jc w:val="left"/>
        <w:rPr>
          <w:rFonts w:ascii="Arial" w:hAnsi="Arial"/>
          <w:color w:val="000000"/>
          <w:sz w:val="20"/>
        </w:rPr>
      </w:pPr>
      <w:r>
        <w:rPr>
          <w:rFonts w:ascii="Arial" w:hAnsi="Arial"/>
          <w:color w:val="000000"/>
          <w:sz w:val="20"/>
        </w:rPr>
        <w:t>The accompanying condensed consolidated balance sheet at June 30, 2025, the condensed consolidated statements of operations and comprehensive income (loss) for the three months ended June 30, 2025 and 2024, the condensed consolidated statements of cash flows for the three months ended June 30, 2025 and 2024 and the condensed consolidated statements of equity for the three months ended June 30, 2025 and 2024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2025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2025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pStyle w:val="TextBody"/>
        <w:bidi w:val="0"/>
        <w:spacing w:before="180" w:after="283"/>
        <w:jc w:val="left"/>
        <w:rPr>
          <w:rFonts w:ascii="Arial" w:hAnsi="Arial"/>
          <w:color w:val="000000"/>
          <w:sz w:val="20"/>
        </w:rPr>
      </w:pPr>
      <w:r>
        <w:rPr>
          <w:rFonts w:ascii="Arial" w:hAnsi="Arial"/>
          <w:color w:val="000000"/>
          <w:sz w:val="20"/>
        </w:rPr>
        <w:t>The Company’s condensed consolidated financial statements include the assets, liabilities and results of operations of Viasat, its wholly owned subsidiaries and its majority-owned subsidiary, TrellisWare Technologies, Inc. (TrellisWare).</w:t>
      </w:r>
    </w:p>
    <w:p>
      <w:pPr>
        <w:pStyle w:val="TextBody"/>
        <w:bidi w:val="0"/>
        <w:spacing w:before="180" w:after="283"/>
        <w:jc w:val="left"/>
        <w:rPr>
          <w:rFonts w:ascii="Arial" w:hAnsi="Arial"/>
          <w:color w:val="000000"/>
          <w:sz w:val="20"/>
        </w:rPr>
      </w:pPr>
      <w:r>
        <w:rPr>
          <w:rFonts w:ascii="Arial" w:hAnsi="Arial"/>
          <w:color w:val="000000"/>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in the condensed consolidated balance sheets.</w:t>
      </w:r>
    </w:p>
    <w:p>
      <w:pPr>
        <w:pStyle w:val="TextBody"/>
        <w:bidi w:val="0"/>
        <w:spacing w:before="18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pStyle w:val="TextBody"/>
        <w:bidi w:val="0"/>
        <w:spacing w:before="280" w:after="283"/>
        <w:jc w:val="left"/>
        <w:rPr>
          <w:rFonts w:ascii="Arial" w:hAnsi="Arial"/>
          <w:b/>
          <w:i/>
          <w:color w:val="000000"/>
          <w:sz w:val="20"/>
        </w:rPr>
      </w:pPr>
      <w:r>
        <w:rPr>
          <w:rFonts w:ascii="Arial" w:hAnsi="Arial"/>
          <w:b/>
          <w:i/>
          <w:color w:val="000000"/>
          <w:sz w:val="20"/>
        </w:rPr>
        <w:t>Revenue recognition</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Performance obligations</w:t>
      </w:r>
    </w:p>
    <w:p>
      <w:pPr>
        <w:pStyle w:val="TextBody"/>
        <w:bidi w:val="0"/>
        <w:spacing w:before="80" w:after="283"/>
        <w:jc w:val="left"/>
        <w:rPr>
          <w:rFonts w:ascii="Arial" w:hAnsi="Arial"/>
          <w:color w:val="000000"/>
          <w:sz w:val="20"/>
        </w:rPr>
      </w:pPr>
      <w:r>
        <w:rPr>
          <w:rFonts w:ascii="Arial" w:hAnsi="Arial"/>
          <w:color w:val="000000"/>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283"/>
        <w:jc w:val="left"/>
        <w:rPr>
          <w:rFonts w:ascii="Arial" w:hAnsi="Arial"/>
          <w:color w:val="000000"/>
          <w:sz w:val="20"/>
        </w:rPr>
      </w:pPr>
      <w:r>
        <w:rPr>
          <w:rFonts w:ascii="Arial" w:hAnsi="Arial"/>
          <w:color w:val="000000"/>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Contract costs on U.S. Government contracts are subject to audit and review by the Defense Contract Management Agency (DCMA), the Defense Contract Audit Agency (DCAA), and other U.S. Government agencies, as well as negotiations with U.S. Government representatives. As of June 30, 2025, the DCMA had approved the Company’s incurred costs through fiscal year 2022. The DCMA is currently auditing the Company’s fiscal year 2024 recurring incurred cost submission.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as of June 30, 2025 and March 31, 2025, respectively, in contract-related reserves for its estimate of potential refunds to customers for potential cost adjustments on several multi-year U.S. Government cost reimbursable contracts (see Note 8 — Commitments and Contingencies for more information).</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Evaluation of transaction price</w:t>
      </w:r>
    </w:p>
    <w:p>
      <w:pPr>
        <w:pStyle w:val="TextBody"/>
        <w:bidi w:val="0"/>
        <w:spacing w:before="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00" w:after="283"/>
        <w:jc w:val="left"/>
        <w:rPr>
          <w:rFonts w:ascii="Arial" w:hAnsi="Arial"/>
          <w:i/>
          <w:color w:val="000000"/>
          <w:sz w:val="20"/>
        </w:rPr>
      </w:pPr>
      <w:r>
        <w:rPr>
          <w:rFonts w:ascii="Arial" w:hAnsi="Arial"/>
          <w:i/>
          <w:color w:val="000000"/>
          <w:sz w:val="20"/>
        </w:rPr>
        <w:t>Transaction price allocated to remaining performance obligations</w:t>
      </w:r>
    </w:p>
    <w:p>
      <w:pPr>
        <w:pStyle w:val="TextBody"/>
        <w:bidi w:val="0"/>
        <w:spacing w:before="80" w:after="283"/>
        <w:jc w:val="left"/>
        <w:rPr>
          <w:rFonts w:ascii="Times New Roman" w:hAnsi="Times New Roman"/>
          <w:sz w:val="20"/>
        </w:rPr>
      </w:pPr>
      <w:r>
        <w:rPr>
          <w:rFonts w:ascii="Arial" w:hAnsi="Arial"/>
          <w:color w:val="000000"/>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communication services segment do not have minimum service purchase requirements and therefore are not included in the Company’s remaining performance obligations. As of June 30, 2025, the aggregate amount of the transaction price allocated to remaining performance obligations was $3.5</w:t>
      </w:r>
      <w:r>
        <w:rPr>
          <w:rFonts w:ascii="Times New Roman" w:hAnsi="Times New Roman"/>
          <w:color w:val="000000"/>
          <w:sz w:val="20"/>
        </w:rPr>
        <w:t xml:space="preserve"> </w:t>
      </w:r>
      <w:r>
        <w:rPr>
          <w:rFonts w:ascii="Arial" w:hAnsi="Arial"/>
          <w:color w:val="000000"/>
          <w:sz w:val="20"/>
        </w:rPr>
        <w:t>billion, of which the Company expects to recognize approximately half over the next 12 months, with the balance recognized thereafter.</w:t>
      </w:r>
    </w:p>
    <w:p>
      <w:pPr>
        <w:pStyle w:val="TextBody"/>
        <w:bidi w:val="0"/>
        <w:jc w:val="both"/>
        <w:rPr/>
      </w:pPr>
      <w:r>
        <w:rPr/>
        <w:t> </w:t>
      </w:r>
    </w:p>
    <w:p>
      <w:pPr>
        <w:pStyle w:val="TextBody"/>
        <w:bidi w:val="0"/>
        <w:spacing w:before="100" w:after="283"/>
        <w:jc w:val="left"/>
        <w:rPr>
          <w:rFonts w:ascii="Arial" w:hAnsi="Arial"/>
          <w:i/>
          <w:color w:val="000000"/>
          <w:sz w:val="20"/>
        </w:rPr>
      </w:pPr>
      <w:r>
        <w:rPr>
          <w:rFonts w:ascii="Arial" w:hAnsi="Arial"/>
          <w:i/>
          <w:color w:val="000000"/>
          <w:sz w:val="20"/>
        </w:rPr>
        <w:t>Disaggregation of revenue</w:t>
      </w:r>
    </w:p>
    <w:p>
      <w:pPr>
        <w:pStyle w:val="TextBody"/>
        <w:bidi w:val="0"/>
        <w:spacing w:before="80" w:after="283"/>
        <w:jc w:val="left"/>
        <w:rPr>
          <w:rFonts w:ascii="Times New Roman" w:hAnsi="Times New Roman"/>
          <w:sz w:val="20"/>
        </w:rPr>
      </w:pPr>
      <w:r>
        <w:rPr>
          <w:rFonts w:ascii="Arial" w:hAnsi="Arial"/>
          <w:color w:val="000000"/>
          <w:sz w:val="20"/>
        </w:rPr>
        <w:t>The Company operates and manages its business in two</w:t>
      </w:r>
      <w:r>
        <w:rPr>
          <w:rFonts w:ascii="Times New Roman" w:hAnsi="Times New Roman"/>
          <w:color w:val="000000"/>
          <w:sz w:val="20"/>
        </w:rPr>
        <w:t xml:space="preserve"> </w:t>
      </w:r>
      <w:r>
        <w:rPr>
          <w:rFonts w:ascii="Arial" w:hAnsi="Arial"/>
          <w:color w:val="000000"/>
          <w:sz w:val="20"/>
        </w:rPr>
        <w:t>reportable segments: communication services and defense and advanced technologies. Revenue is disaggregated by products and services, customer type, contract type, business line and geographic area, as the Company believes this approach best depicts how the nature, amount, timing and uncertainty of its revenue and cash flows are affected by economic factors. See Note 10 — Segment Information for disaggregation of revenue by business line and additional disaggregated revenue disclosures.</w:t>
      </w:r>
    </w:p>
    <w:p>
      <w:pPr>
        <w:pStyle w:val="TextBody"/>
        <w:bidi w:val="0"/>
        <w:spacing w:before="180" w:after="283"/>
        <w:jc w:val="left"/>
        <w:rPr>
          <w:rFonts w:ascii="Arial" w:hAnsi="Arial"/>
          <w:color w:val="000000"/>
          <w:sz w:val="20"/>
        </w:rPr>
      </w:pPr>
      <w:r>
        <w:rPr>
          <w:rFonts w:ascii="Arial" w:hAnsi="Arial"/>
          <w:color w:val="000000"/>
          <w:sz w:val="20"/>
        </w:rPr>
        <w:t>The following sets forth disaggregated reported revenue by segment and products and services for the three months ended June 30, 2025 and 2024:</w:t>
      </w:r>
    </w:p>
    <w:p>
      <w:pPr>
        <w:pStyle w:val="TextBody"/>
        <w:bidi w:val="0"/>
        <w:jc w:val="left"/>
        <w:rPr/>
      </w:pPr>
      <w:r>
        <w:rPr/>
        <w:t> </w:t>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1651"/>
        <w:gridCol w:w="146"/>
        <w:gridCol w:w="436"/>
        <w:gridCol w:w="1649"/>
        <w:gridCol w:w="146"/>
        <w:gridCol w:w="146"/>
        <w:gridCol w:w="640"/>
        <w:gridCol w:w="2420"/>
        <w:gridCol w:w="146"/>
        <w:gridCol w:w="146"/>
        <w:gridCol w:w="240"/>
        <w:gridCol w:w="1095"/>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344,684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1,171,054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1,126,460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Revenues from the U.S. Government as an individual customer comprised approximately 15% and 16% of total revenues for the three months ended June 30, 2025 and 2024, respectively. Revenues from the U.S. Government were attributable to each of the communication services segment and defense and advanced technologies segment, with higher revenues from the U.S. Government reported within the Company's communication services segment for both the three months ended June 30, 2025 and 2024.</w:t>
      </w:r>
    </w:p>
    <w:p>
      <w:pPr>
        <w:pStyle w:val="TextBody"/>
        <w:bidi w:val="0"/>
        <w:spacing w:before="180" w:after="283"/>
        <w:jc w:val="left"/>
        <w:rPr>
          <w:rFonts w:ascii="Arial" w:hAnsi="Arial"/>
          <w:color w:val="000000"/>
          <w:sz w:val="20"/>
        </w:rPr>
      </w:pPr>
      <w:r>
        <w:rPr>
          <w:rFonts w:ascii="Arial" w:hAnsi="Arial"/>
          <w:color w:val="000000"/>
          <w:sz w:val="20"/>
        </w:rPr>
        <w:t>Almost all of the Company's revenues are derived from fixed-price contracts (which require the Company to provide products and services under a contract at a specified price), which are reported in both of the Company's segments. The remainder of the Company's revenues is primarily from cost-reimbursement contracts (under which the Company is reimbursed for all actual costs incurred in performing the contract to the extent such costs are within the contract ceiling and allowable under the terms of the contract, plus a fee or profit), which are mainly reported within the Company's defense and advanced technologies segment.</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Historically, a portion of the Company’s revenues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11% and 12% of its total revenues for the three months ended June 30, 2025 and 2024, respectively, mainly reported within the Company's defense and advanced technologies segment.</w:t>
      </w:r>
    </w:p>
    <w:p>
      <w:pPr>
        <w:pStyle w:val="TextBody"/>
        <w:bidi w:val="0"/>
        <w:spacing w:before="100" w:after="283"/>
        <w:jc w:val="left"/>
        <w:rPr>
          <w:rFonts w:ascii="Arial" w:hAnsi="Arial"/>
          <w:i/>
          <w:color w:val="000000"/>
          <w:sz w:val="20"/>
        </w:rPr>
      </w:pPr>
      <w:r>
        <w:rPr>
          <w:rFonts w:ascii="Arial" w:hAnsi="Arial"/>
          <w:i/>
          <w:color w:val="000000"/>
          <w:sz w:val="20"/>
        </w:rPr>
        <w:t>Contract balances</w:t>
      </w:r>
    </w:p>
    <w:p>
      <w:pPr>
        <w:pStyle w:val="TextBody"/>
        <w:bidi w:val="0"/>
        <w:spacing w:before="80" w:after="283"/>
        <w:jc w:val="left"/>
        <w:rPr>
          <w:rFonts w:ascii="Times New Roman" w:hAnsi="Times New Roman"/>
          <w:sz w:val="20"/>
        </w:rPr>
      </w:pPr>
      <w:r>
        <w:rPr>
          <w:rFonts w:ascii="Arial" w:hAnsi="Arial"/>
          <w:color w:val="000000"/>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When consideration is received in advance of the delivery of goods or services, a contract liability, or with respect to the Company, collections in excess of revenues and deferred revenues, is recorded. Reductions in the collections in excess of revenues and deferred revenues will be recorded as the Company satisfies the performance obligations.</w:t>
      </w:r>
    </w:p>
    <w:p>
      <w:pPr>
        <w:pStyle w:val="TextBody"/>
        <w:bidi w:val="0"/>
        <w:spacing w:before="180" w:after="283"/>
        <w:jc w:val="left"/>
        <w:rPr>
          <w:rFonts w:ascii="Times New Roman" w:hAnsi="Times New Roman"/>
          <w:sz w:val="20"/>
        </w:rPr>
      </w:pPr>
      <w:r>
        <w:rPr>
          <w:rFonts w:ascii="Arial" w:hAnsi="Arial"/>
          <w:color w:val="000000"/>
          <w:sz w:val="20"/>
        </w:rPr>
        <w:t>The following table presents contract assets and liabilities as of June 30, 2025 and March 31, 2025:</w:t>
      </w:r>
      <w:r>
        <w:rPr>
          <w:rFonts w:ascii="Times New Roman" w:hAnsi="Times New Roman"/>
          <w:color w:val="000000"/>
          <w:sz w:val="20"/>
        </w:rPr>
        <w:t xml:space="preserve"> </w:t>
      </w:r>
    </w:p>
    <w:p>
      <w:pPr>
        <w:pStyle w:val="TextBody"/>
        <w:bidi w:val="0"/>
        <w:jc w:val="left"/>
        <w:rPr/>
      </w:pPr>
      <w:r>
        <w:rPr/>
        <w:t> </w:t>
      </w:r>
    </w:p>
    <w:tbl>
      <w:tblPr>
        <w:tblW w:w="8205" w:type="dxa"/>
        <w:jc w:val="left"/>
        <w:tblInd w:w="0" w:type="dxa"/>
        <w:tblLayout w:type="fixed"/>
        <w:tblCellMar>
          <w:top w:w="28" w:type="dxa"/>
          <w:left w:w="28" w:type="dxa"/>
          <w:bottom w:w="28" w:type="dxa"/>
          <w:right w:w="28" w:type="dxa"/>
        </w:tblCellMar>
      </w:tblPr>
      <w:tblGrid>
        <w:gridCol w:w="5056"/>
        <w:gridCol w:w="146"/>
        <w:gridCol w:w="254"/>
        <w:gridCol w:w="961"/>
        <w:gridCol w:w="146"/>
        <w:gridCol w:w="146"/>
        <w:gridCol w:w="273"/>
        <w:gridCol w:w="103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Unbilled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Collections in excess of revenues and 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Unbilled accounts receivable decreased by an insignificant amount during the three months ended June 30, 2025, driven by an increase in billings, primarily in the Company's defense and advanced technologies segment revenues.</w:t>
      </w:r>
    </w:p>
    <w:p>
      <w:pPr>
        <w:pStyle w:val="TextBody"/>
        <w:bidi w:val="0"/>
        <w:spacing w:before="180" w:after="283"/>
        <w:jc w:val="left"/>
        <w:rPr>
          <w:rFonts w:ascii="Times New Roman" w:hAnsi="Times New Roman"/>
          <w:sz w:val="20"/>
        </w:rPr>
      </w:pPr>
      <w:r>
        <w:rPr>
          <w:rFonts w:ascii="Arial" w:hAnsi="Arial"/>
          <w:color w:val="000000"/>
          <w:sz w:val="20"/>
        </w:rPr>
        <w:t>Collections in excess of revenues and deferred revenues increased by $4.8</w:t>
      </w:r>
      <w:r>
        <w:rPr>
          <w:rFonts w:ascii="Times New Roman" w:hAnsi="Times New Roman"/>
          <w:color w:val="000000"/>
          <w:sz w:val="20"/>
        </w:rPr>
        <w:t xml:space="preserve"> </w:t>
      </w:r>
      <w:r>
        <w:rPr>
          <w:rFonts w:ascii="Arial" w:hAnsi="Arial"/>
          <w:color w:val="000000"/>
          <w:sz w:val="20"/>
        </w:rPr>
        <w:t>million during the three months ended June 30, 2025, driven by advances on goods or services received in excess of revenue recognized.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During the three months ended June 30, 2025, the Company recognized revenue of $106.1</w:t>
      </w:r>
      <w:r>
        <w:rPr>
          <w:rFonts w:ascii="Times New Roman" w:hAnsi="Times New Roman"/>
          <w:color w:val="000000"/>
          <w:sz w:val="20"/>
        </w:rPr>
        <w:t xml:space="preserve"> </w:t>
      </w:r>
      <w:r>
        <w:rPr>
          <w:rFonts w:ascii="Arial" w:hAnsi="Arial"/>
          <w:color w:val="000000"/>
          <w:sz w:val="20"/>
        </w:rPr>
        <w:t>million that was previously included in the Company’s collections in excess of revenues and deferred revenues at March 31, 2025. During the three months ended June 30, 2024, the Company recognized revenue of $106.3</w:t>
      </w:r>
      <w:r>
        <w:rPr>
          <w:rFonts w:ascii="Times New Roman" w:hAnsi="Times New Roman"/>
          <w:color w:val="000000"/>
          <w:sz w:val="20"/>
        </w:rPr>
        <w:t xml:space="preserve"> </w:t>
      </w:r>
      <w:r>
        <w:rPr>
          <w:rFonts w:ascii="Arial" w:hAnsi="Arial"/>
          <w:color w:val="000000"/>
          <w:sz w:val="20"/>
        </w:rPr>
        <w:t>million that was previously included in the Company’s collections in excess of revenues and deferred revenues at March 31, 2024.</w:t>
      </w:r>
    </w:p>
    <w:p>
      <w:pPr>
        <w:pStyle w:val="TextBody"/>
        <w:bidi w:val="0"/>
        <w:spacing w:before="280" w:after="283"/>
        <w:jc w:val="left"/>
        <w:rPr>
          <w:rFonts w:ascii="Arial" w:hAnsi="Arial"/>
          <w:b/>
          <w:i/>
          <w:color w:val="000000"/>
          <w:sz w:val="20"/>
        </w:rPr>
      </w:pPr>
      <w:r>
        <w:rPr>
          <w:rFonts w:ascii="Arial" w:hAnsi="Arial"/>
          <w:b/>
          <w:i/>
          <w:color w:val="000000"/>
          <w:sz w:val="20"/>
        </w:rPr>
        <w:t>Cash equivalents</w:t>
      </w:r>
    </w:p>
    <w:p>
      <w:pPr>
        <w:pStyle w:val="TextBody"/>
        <w:bidi w:val="0"/>
        <w:spacing w:before="80" w:after="283"/>
        <w:jc w:val="left"/>
        <w:rPr>
          <w:rFonts w:ascii="Arial" w:hAnsi="Arial"/>
          <w:color w:val="000000"/>
          <w:sz w:val="20"/>
        </w:rPr>
      </w:pPr>
      <w:r>
        <w:rPr>
          <w:rFonts w:ascii="Arial" w:hAnsi="Arial"/>
          <w:color w:val="000000"/>
          <w:sz w:val="20"/>
        </w:rPr>
        <w:t>Cash equivalents consist of highly liquid investments with original maturities of three months or less at the date of purchase, with a significant portion held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color w:val="000000"/>
          <w:sz w:val="20"/>
        </w:rPr>
        <w:t xml:space="preserve"> </w:t>
      </w:r>
      <w:r>
        <w:rPr>
          <w:rFonts w:ascii="Arial" w:hAnsi="Arial"/>
          <w:color w:val="000000"/>
          <w:sz w:val="20"/>
        </w:rPr>
        <w:t>to 38</w:t>
      </w:r>
      <w:r>
        <w:rPr>
          <w:rFonts w:ascii="Times New Roman" w:hAnsi="Times New Roman"/>
          <w:color w:val="000000"/>
          <w:sz w:val="20"/>
        </w:rPr>
        <w:t xml:space="preserve"> </w:t>
      </w:r>
      <w:r>
        <w:rPr>
          <w:rFonts w:ascii="Arial" w:hAnsi="Arial"/>
          <w:color w:val="000000"/>
          <w:sz w:val="20"/>
        </w:rPr>
        <w:t>years. Leasehold improvements are capitalized and amortized using the straight-line method over the shorter of the lease term or the life of the improvement.</w:t>
      </w:r>
    </w:p>
    <w:p>
      <w:pPr>
        <w:pStyle w:val="TextBody"/>
        <w:bidi w:val="0"/>
        <w:spacing w:before="180" w:after="283"/>
        <w:jc w:val="left"/>
        <w:rPr>
          <w:rFonts w:ascii="Times New Roman" w:hAnsi="Times New Roman"/>
          <w:sz w:val="20"/>
        </w:rPr>
      </w:pPr>
      <w:r>
        <w:rPr>
          <w:rFonts w:ascii="Arial" w:hAnsi="Arial"/>
          <w:color w:val="000000"/>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color w:val="000000"/>
          <w:sz w:val="20"/>
        </w:rPr>
        <w:t xml:space="preserve"> </w:t>
      </w:r>
      <w:r>
        <w:rPr>
          <w:rFonts w:ascii="Arial" w:hAnsi="Arial"/>
          <w:color w:val="000000"/>
          <w:sz w:val="20"/>
        </w:rPr>
        <w:t>to seven years. Capitalized costs for internal-use software are included in property, equipment and satellites, net in the Company’s condensed consolidated balance sheets.</w:t>
      </w:r>
    </w:p>
    <w:p>
      <w:pPr>
        <w:pStyle w:val="TextBody"/>
        <w:bidi w:val="0"/>
        <w:spacing w:before="180" w:after="283"/>
        <w:jc w:val="left"/>
        <w:rPr>
          <w:rFonts w:ascii="Times New Roman" w:hAnsi="Times New Roman"/>
          <w:sz w:val="20"/>
        </w:rPr>
      </w:pPr>
      <w:r>
        <w:rPr>
          <w:rFonts w:ascii="Arial" w:hAnsi="Arial"/>
          <w:color w:val="000000"/>
          <w:sz w:val="20"/>
        </w:rPr>
        <w:t>Interest expense is capitalized on the carrying value of assets under construction, in accordance with the authoritative guidance for the capitalization of interest (ASC 835-20).</w:t>
      </w:r>
      <w:r>
        <w:rPr>
          <w:rFonts w:ascii="Times New Roman" w:hAnsi="Times New Roman"/>
          <w:color w:val="000000"/>
          <w:sz w:val="20"/>
        </w:rPr>
        <w:t xml:space="preserve"> </w:t>
      </w:r>
      <w:r>
        <w:rPr>
          <w:rFonts w:ascii="Arial" w:hAnsi="Arial"/>
          <w:color w:val="000000"/>
          <w:sz w:val="20"/>
        </w:rPr>
        <w:t>With respect to the construction of satellites, gateway and networking equipment and other assets under construction, the Company capitalized $55.2</w:t>
      </w:r>
      <w:r>
        <w:rPr>
          <w:rFonts w:ascii="Times New Roman" w:hAnsi="Times New Roman"/>
          <w:color w:val="000000"/>
          <w:sz w:val="20"/>
        </w:rPr>
        <w:t xml:space="preserve"> </w:t>
      </w:r>
      <w:r>
        <w:rPr>
          <w:rFonts w:ascii="Arial" w:hAnsi="Arial"/>
          <w:color w:val="000000"/>
          <w:sz w:val="20"/>
        </w:rPr>
        <w:t>million and $56.6</w:t>
      </w:r>
      <w:r>
        <w:rPr>
          <w:rFonts w:ascii="Times New Roman" w:hAnsi="Times New Roman"/>
          <w:color w:val="000000"/>
          <w:sz w:val="20"/>
        </w:rPr>
        <w:t xml:space="preserve"> </w:t>
      </w:r>
      <w:r>
        <w:rPr>
          <w:rFonts w:ascii="Arial" w:hAnsi="Arial"/>
          <w:color w:val="000000"/>
          <w:sz w:val="20"/>
        </w:rPr>
        <w:t>million of interest expense during the three months ended June 30, 2025 and 2024, respectively.</w:t>
      </w:r>
    </w:p>
    <w:p>
      <w:pPr>
        <w:pStyle w:val="TextBody"/>
        <w:bidi w:val="0"/>
        <w:spacing w:before="180" w:after="283"/>
        <w:jc w:val="left"/>
        <w:rPr>
          <w:rFonts w:ascii="Times New Roman" w:hAnsi="Times New Roman"/>
          <w:sz w:val="20"/>
        </w:rPr>
      </w:pPr>
      <w:r>
        <w:rPr>
          <w:rFonts w:ascii="Arial" w:hAnsi="Arial"/>
          <w:color w:val="000000"/>
          <w:sz w:val="20"/>
        </w:rPr>
        <w:t>The Company's complementary fleet of 23 in service or operational satellites spans the Ka-, L- and S- bands, with 13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an Inmarsat-6 class hybrid Ka-/L-band satellite (the I-6 F1 satellite). In late July 2024, the ViaSat-3 F1 satellite completed in-orbit testing and was integrated into the Company's existing satellite fleet covering the Americas. In May 2025, two Ka-band highly-elliptical earth orbit satellite payloads (GX10A and GX10B) were put in service to provide polar coverage for government customers, with commercial maritime and aviation services anticipated to follow during fiscal year 2026. Furthermore, the Company has eight additional geostationary earth orbit (GEO) satellites under development: two additional high-capacity Ka-band GEO satellites (ViaSat-3 F2 and ViaSat-3 F3), three additional adaptive Ka-band GEO satellites (GX7, GX8 and GX9) and three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June 30, 2025 were $525.0</w:t>
      </w:r>
      <w:r>
        <w:rPr>
          <w:rFonts w:ascii="Times New Roman" w:hAnsi="Times New Roman"/>
          <w:color w:val="000000"/>
          <w:sz w:val="20"/>
        </w:rPr>
        <w:t xml:space="preserve"> </w:t>
      </w:r>
      <w:r>
        <w:rPr>
          <w:rFonts w:ascii="Arial" w:hAnsi="Arial"/>
          <w:color w:val="000000"/>
          <w:sz w:val="20"/>
        </w:rPr>
        <w:t>million and $335.6</w:t>
      </w:r>
      <w:r>
        <w:rPr>
          <w:rFonts w:ascii="Times New Roman" w:hAnsi="Times New Roman"/>
          <w:color w:val="000000"/>
          <w:sz w:val="20"/>
        </w:rPr>
        <w:t xml:space="preserve"> </w:t>
      </w:r>
      <w:r>
        <w:rPr>
          <w:rFonts w:ascii="Arial" w:hAnsi="Arial"/>
          <w:color w:val="000000"/>
          <w:sz w:val="20"/>
        </w:rPr>
        <w:t>million, respectively. The total cost and accumulated depreciation of CPE units included in property, equipment and satellites, net, as of March 31, 2025 were $526.0</w:t>
      </w:r>
      <w:r>
        <w:rPr>
          <w:rFonts w:ascii="Times New Roman" w:hAnsi="Times New Roman"/>
          <w:color w:val="000000"/>
          <w:sz w:val="20"/>
        </w:rPr>
        <w:t xml:space="preserve"> </w:t>
      </w:r>
      <w:r>
        <w:rPr>
          <w:rFonts w:ascii="Arial" w:hAnsi="Arial"/>
          <w:color w:val="000000"/>
          <w:sz w:val="20"/>
        </w:rPr>
        <w:t>million and $328.0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Times New Roman" w:hAnsi="Times New Roman"/>
          <w:sz w:val="20"/>
        </w:rPr>
      </w:pPr>
      <w:r>
        <w:rPr>
          <w:rFonts w:ascii="Arial" w:hAnsi="Arial"/>
          <w:color w:val="000000"/>
          <w:sz w:val="20"/>
        </w:rPr>
        <w:t>As a result of the anomalies that occurred with respect to the ViaSat-3 F1 and I-6 F2 satellites in fiscal year 2024, the Company recorded a reduction to the carrying value of the satellites of approximately $1.67</w:t>
      </w:r>
      <w:r>
        <w:rPr>
          <w:rFonts w:ascii="Times New Roman" w:hAnsi="Times New Roman"/>
          <w:color w:val="000000"/>
          <w:sz w:val="20"/>
        </w:rPr>
        <w:t xml:space="preserve"> </w:t>
      </w:r>
      <w:r>
        <w:rPr>
          <w:rFonts w:ascii="Arial" w:hAnsi="Arial"/>
          <w:color w:val="000000"/>
          <w:sz w:val="20"/>
        </w:rPr>
        <w:t>billion in fiscal year 2024, which was partially offset by total insurance claim receivables of approximately $770.0</w:t>
      </w:r>
      <w:r>
        <w:rPr>
          <w:rFonts w:ascii="Times New Roman" w:hAnsi="Times New Roman"/>
          <w:color w:val="000000"/>
          <w:sz w:val="20"/>
        </w:rPr>
        <w:t xml:space="preserve"> </w:t>
      </w:r>
      <w:r>
        <w:rPr>
          <w:rFonts w:ascii="Arial" w:hAnsi="Arial"/>
          <w:color w:val="000000"/>
          <w:sz w:val="20"/>
        </w:rPr>
        <w:t>million, and for which the final payment was received in the first quarter of fiscal year 2026.</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Occasionally, the Company may enter into finance lease arrangements for various machinery, equipment, computer-related equipment, software, furniture, fixtures, or satellites. The Company records amortization of assets leased under finance lease arrangements (upon lease commencement) within depreciation expense. The Company’s finance leases consist primarily of satellite lifetime Ka-band capacity leases and have remaining terms from less than one year</w:t>
      </w:r>
      <w:r>
        <w:rPr>
          <w:rFonts w:ascii="Times New Roman" w:hAnsi="Times New Roman"/>
          <w:color w:val="000000"/>
          <w:sz w:val="20"/>
        </w:rPr>
        <w:t xml:space="preserve"> </w:t>
      </w:r>
      <w:r>
        <w:rPr>
          <w:rFonts w:ascii="Arial" w:hAnsi="Arial"/>
          <w:color w:val="000000"/>
          <w:sz w:val="20"/>
        </w:rPr>
        <w:t>to 14</w:t>
      </w:r>
      <w:r>
        <w:rPr>
          <w:rFonts w:ascii="Times New Roman" w:hAnsi="Times New Roman"/>
          <w:color w:val="000000"/>
          <w:sz w:val="20"/>
        </w:rPr>
        <w:t xml:space="preserve"> </w:t>
      </w:r>
      <w:r>
        <w:rPr>
          <w:rFonts w:ascii="Arial" w:hAnsi="Arial"/>
          <w:color w:val="000000"/>
          <w:sz w:val="20"/>
        </w:rPr>
        <w:t>years. The Company reports assets obtained under finance leases in property, equipment and satellites, net and the current and non-current portions of its finance lease liabilities in current portion of long-term debt and other long-term debt, respectively, in the condensed consolidated balance sheets (see Note 1 — Basis of Presentation – Leases for more information).</w:t>
      </w:r>
    </w:p>
    <w:p>
      <w:pPr>
        <w:pStyle w:val="TextBody"/>
        <w:bidi w:val="0"/>
        <w:spacing w:before="280" w:after="283"/>
        <w:jc w:val="left"/>
        <w:rPr>
          <w:rFonts w:ascii="Times New Roman" w:hAnsi="Times New Roman"/>
          <w:sz w:val="20"/>
        </w:rPr>
      </w:pPr>
      <w:r>
        <w:rPr>
          <w:rFonts w:ascii="Arial" w:hAnsi="Arial"/>
          <w:b/>
          <w:i/>
          <w:color w:val="000000"/>
          <w:sz w:val="20"/>
        </w:rPr>
        <w:t>Cloud computing arrangements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implementation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condensed consolidated balance sheets.</w:t>
      </w:r>
    </w:p>
    <w:p>
      <w:pPr>
        <w:pStyle w:val="TextBody"/>
        <w:bidi w:val="0"/>
        <w:spacing w:before="180" w:after="283"/>
        <w:jc w:val="left"/>
        <w:rPr>
          <w:rFonts w:ascii="Times New Roman" w:hAnsi="Times New Roman"/>
          <w:sz w:val="20"/>
        </w:rPr>
      </w:pPr>
      <w:r>
        <w:rPr>
          <w:rFonts w:ascii="Arial" w:hAnsi="Arial"/>
          <w:color w:val="000000"/>
          <w:sz w:val="20"/>
        </w:rPr>
        <w:t>The Company has entered into several cloud computing arrangements that are hosted services contracts mainly as part of projects related to the continuous transformation of technology, integration and implementation of an ERP system. As of June 30, 2025 and March 31, 2025, gross capitalized implementation costs incurred in cloud computing arrangements was $98.9</w:t>
      </w:r>
      <w:r>
        <w:rPr>
          <w:rFonts w:ascii="Times New Roman" w:hAnsi="Times New Roman"/>
          <w:color w:val="000000"/>
          <w:sz w:val="20"/>
        </w:rPr>
        <w:t xml:space="preserve"> </w:t>
      </w:r>
      <w:r>
        <w:rPr>
          <w:rFonts w:ascii="Arial" w:hAnsi="Arial"/>
          <w:color w:val="000000"/>
          <w:sz w:val="20"/>
        </w:rPr>
        <w:t>million and $88.7</w:t>
      </w:r>
      <w:r>
        <w:rPr>
          <w:rFonts w:ascii="Times New Roman" w:hAnsi="Times New Roman"/>
          <w:color w:val="000000"/>
          <w:sz w:val="20"/>
        </w:rPr>
        <w:t xml:space="preserve"> </w:t>
      </w:r>
      <w:r>
        <w:rPr>
          <w:rFonts w:ascii="Arial" w:hAnsi="Arial"/>
          <w:color w:val="000000"/>
          <w:sz w:val="20"/>
        </w:rPr>
        <w:t>million, respectively. As of June 30, 2025 and March 31, 2025, the related accumulated amortization was $21.0</w:t>
      </w:r>
      <w:r>
        <w:rPr>
          <w:rFonts w:ascii="Times New Roman" w:hAnsi="Times New Roman"/>
          <w:color w:val="000000"/>
          <w:sz w:val="20"/>
        </w:rPr>
        <w:t xml:space="preserve"> </w:t>
      </w:r>
      <w:r>
        <w:rPr>
          <w:rFonts w:ascii="Arial" w:hAnsi="Arial"/>
          <w:color w:val="000000"/>
          <w:sz w:val="20"/>
        </w:rPr>
        <w:t>million and $18.4</w:t>
      </w:r>
      <w:r>
        <w:rPr>
          <w:rFonts w:ascii="Times New Roman" w:hAnsi="Times New Roman"/>
          <w:color w:val="000000"/>
          <w:sz w:val="20"/>
        </w:rPr>
        <w:t xml:space="preserve"> </w:t>
      </w:r>
      <w:r>
        <w:rPr>
          <w:rFonts w:ascii="Arial" w:hAnsi="Arial"/>
          <w:color w:val="000000"/>
          <w:sz w:val="20"/>
        </w:rPr>
        <w:t>million, respectively. The Company recognized amortization of capitalized implementation costs of $2.6</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for the three months ended June 30, 2025 and 2024, respectively.</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Lessee accounting</w:t>
      </w:r>
    </w:p>
    <w:p>
      <w:pPr>
        <w:pStyle w:val="TextBody"/>
        <w:bidi w:val="0"/>
        <w:spacing w:before="80" w:after="283"/>
        <w:jc w:val="left"/>
        <w:rPr>
          <w:rFonts w:ascii="Times New Roman" w:hAnsi="Times New Roman"/>
          <w:sz w:val="20"/>
        </w:rPr>
      </w:pPr>
      <w:r>
        <w:rPr>
          <w:rFonts w:ascii="Arial" w:hAnsi="Arial"/>
          <w:color w:val="000000"/>
          <w:sz w:val="20"/>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Times New Roman" w:hAnsi="Times New Roman"/>
          <w:sz w:val="20"/>
        </w:rPr>
      </w:pPr>
      <w:r>
        <w:rPr>
          <w:rFonts w:ascii="Arial" w:hAnsi="Arial"/>
          <w:color w:val="000000"/>
          <w:sz w:val="20"/>
        </w:rPr>
        <w:t>The Company’s operating leases consist primarily of leases for office space, data centers and satellite ground facilities and have remaining terms that typically range from less than one year</w:t>
      </w:r>
      <w:r>
        <w:rPr>
          <w:rFonts w:ascii="Times New Roman" w:hAnsi="Times New Roman"/>
          <w:color w:val="000000"/>
          <w:sz w:val="20"/>
        </w:rPr>
        <w:t xml:space="preserve"> </w:t>
      </w:r>
      <w:r>
        <w:rPr>
          <w:rFonts w:ascii="Arial" w:hAnsi="Arial"/>
          <w:color w:val="000000"/>
          <w:sz w:val="20"/>
        </w:rPr>
        <w:t>to 16 years, some of which include renewal options, and some of which include options to terminate the leases within one year.</w:t>
      </w:r>
      <w:r>
        <w:rPr>
          <w:rFonts w:ascii="Times New Roman" w:hAnsi="Times New Roman"/>
          <w:color w:val="000000"/>
          <w:sz w:val="20"/>
        </w:rPr>
        <w:t xml:space="preserve"> </w:t>
      </w:r>
      <w:r>
        <w:rPr>
          <w:rFonts w:ascii="Arial" w:hAnsi="Arial"/>
          <w:color w:val="000000"/>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 in the condensed consolidated balance sheets.</w:t>
      </w:r>
    </w:p>
    <w:p>
      <w:pPr>
        <w:pStyle w:val="TextBody"/>
        <w:bidi w:val="0"/>
        <w:spacing w:before="100" w:after="283"/>
        <w:jc w:val="left"/>
        <w:rPr>
          <w:rFonts w:ascii="Arial" w:hAnsi="Arial"/>
          <w:i/>
          <w:color w:val="000000"/>
          <w:sz w:val="20"/>
        </w:rPr>
      </w:pPr>
      <w:r>
        <w:rPr>
          <w:rFonts w:ascii="Arial" w:hAnsi="Arial"/>
          <w:i/>
          <w:color w:val="000000"/>
          <w:sz w:val="20"/>
        </w:rPr>
        <w:t>Lessor accounting</w:t>
      </w:r>
    </w:p>
    <w:p>
      <w:pPr>
        <w:pStyle w:val="TextBody"/>
        <w:bidi w:val="0"/>
        <w:spacing w:before="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Times New Roman" w:hAnsi="Times New Roman"/>
          <w:sz w:val="20"/>
        </w:rPr>
      </w:pPr>
      <w:r>
        <w:rPr>
          <w:rFonts w:ascii="Arial" w:hAnsi="Arial"/>
          <w:b/>
          <w:i/>
          <w:color w:val="000000"/>
          <w:sz w:val="20"/>
        </w:rPr>
        <w:t>Business combinations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80" w:after="283"/>
        <w:jc w:val="left"/>
        <w:rPr>
          <w:rFonts w:ascii="Times New Roman" w:hAnsi="Times New Roman"/>
          <w:sz w:val="20"/>
        </w:rPr>
      </w:pPr>
      <w:r>
        <w:rPr>
          <w:rFonts w:ascii="Arial" w:hAnsi="Arial"/>
          <w:b/>
          <w:i/>
          <w:color w:val="000000"/>
          <w:sz w:val="20"/>
        </w:rPr>
        <w:t>Patents, orbital slots and other licenses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orbital slots and other licenses of $139.6 million and $129.4 million were included in other assets as of June 30, 2025 and March 31, 2025, respectively. Accumulated amortization related to these assets was $13.4 million and $10.2 million as of June 30, 2025 and March 31, 2025, respectively. Amortization expense related to these assets was $3.2 million and an insignificant amount for the three months ended June 30, 2025 and 2024, respectively. If a patent, orbital slot or other license is rejected, abandoned or otherwise invalidated, the unamortized cost is expensed in that period. During the three months ended June 30, 2025 and 2024, the Company did not write off any significant costs due to abandonment or impairment.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Debt issuance costs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Debt issuance costs are amortized and recognized as interest expense using the effective interest rate method, or, when the results are not materially different, on a straight-line basis over the expected term of the related debt. The Company capitalized zero</w:t>
      </w:r>
      <w:r>
        <w:rPr>
          <w:rFonts w:ascii="Times New Roman" w:hAnsi="Times New Roman"/>
          <w:color w:val="000000"/>
          <w:sz w:val="20"/>
        </w:rPr>
        <w:t xml:space="preserve"> </w:t>
      </w:r>
      <w:r>
        <w:rPr>
          <w:rFonts w:ascii="Arial" w:hAnsi="Arial"/>
          <w:color w:val="000000"/>
          <w:sz w:val="20"/>
        </w:rPr>
        <w:t>debt issuance costs during each of the three months ended June 30, 2025 and 2024. Unamortized debt issuance costs related to extinguished debt are expensed at the time the debt is extinguished and recorded in (loss) gain on extinguishment of debt in the condensed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condensed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w:t>
      </w:r>
      <w:r>
        <w:rPr>
          <w:rFonts w:ascii="Times New Roman" w:hAnsi="Times New Roman"/>
          <w:color w:val="000000"/>
          <w:sz w:val="20"/>
        </w:rPr>
        <w:t xml:space="preserve"> </w:t>
      </w:r>
      <w:r>
        <w:rPr>
          <w:rFonts w:ascii="Arial" w:hAnsi="Arial"/>
          <w:color w:val="000000"/>
          <w:sz w:val="20"/>
        </w:rPr>
        <w:t>are recorded as a direct deduction from the carrying amount of the related debt, consistent with debt discounts, in accordance with ASC 835-30.</w:t>
      </w:r>
    </w:p>
    <w:p>
      <w:pPr>
        <w:pStyle w:val="TextBody"/>
        <w:bidi w:val="0"/>
        <w:spacing w:before="280" w:after="283"/>
        <w:jc w:val="left"/>
        <w:rPr>
          <w:rFonts w:ascii="Times New Roman" w:hAnsi="Times New Roman"/>
          <w:sz w:val="20"/>
        </w:rPr>
      </w:pPr>
      <w:r>
        <w:rPr>
          <w:rFonts w:ascii="Arial" w:hAnsi="Arial"/>
          <w:b/>
          <w:i/>
          <w:color w:val="000000"/>
          <w:sz w:val="20"/>
        </w:rPr>
        <w:t>Software development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Costs of developing software for sale are charged to independent research and development (IR&amp;D)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June 30, 2025 and March 31, 2025, the Company had $793.8</w:t>
      </w:r>
      <w:r>
        <w:rPr>
          <w:rFonts w:ascii="Times New Roman" w:hAnsi="Times New Roman"/>
          <w:color w:val="000000"/>
          <w:sz w:val="20"/>
        </w:rPr>
        <w:t xml:space="preserve"> </w:t>
      </w:r>
      <w:r>
        <w:rPr>
          <w:rFonts w:ascii="Arial" w:hAnsi="Arial"/>
          <w:color w:val="000000"/>
          <w:sz w:val="20"/>
        </w:rPr>
        <w:t>million and $780.3</w:t>
      </w:r>
      <w:r>
        <w:rPr>
          <w:rFonts w:ascii="Times New Roman" w:hAnsi="Times New Roman"/>
          <w:color w:val="000000"/>
          <w:sz w:val="20"/>
        </w:rPr>
        <w:t xml:space="preserve"> </w:t>
      </w:r>
      <w:r>
        <w:rPr>
          <w:rFonts w:ascii="Arial" w:hAnsi="Arial"/>
          <w:color w:val="000000"/>
          <w:sz w:val="20"/>
        </w:rPr>
        <w:t>million, respectively, of capitalized costs related to software developed for resale. Accumulated amortization related to these assets was $529.0</w:t>
      </w:r>
      <w:r>
        <w:rPr>
          <w:rFonts w:ascii="Times New Roman" w:hAnsi="Times New Roman"/>
          <w:color w:val="000000"/>
          <w:sz w:val="20"/>
        </w:rPr>
        <w:t xml:space="preserve"> </w:t>
      </w:r>
      <w:r>
        <w:rPr>
          <w:rFonts w:ascii="Arial" w:hAnsi="Arial"/>
          <w:color w:val="000000"/>
          <w:sz w:val="20"/>
        </w:rPr>
        <w:t>million and $515.8</w:t>
      </w:r>
      <w:r>
        <w:rPr>
          <w:rFonts w:ascii="Times New Roman" w:hAnsi="Times New Roman"/>
          <w:color w:val="000000"/>
          <w:sz w:val="20"/>
        </w:rPr>
        <w:t xml:space="preserve"> </w:t>
      </w:r>
      <w:r>
        <w:rPr>
          <w:rFonts w:ascii="Arial" w:hAnsi="Arial"/>
          <w:color w:val="000000"/>
          <w:sz w:val="20"/>
        </w:rPr>
        <w:t>million as of June 30, 2025 and March 31, 2025, respectively. The Company capitalized $23.5</w:t>
      </w:r>
      <w:r>
        <w:rPr>
          <w:rFonts w:ascii="Times New Roman" w:hAnsi="Times New Roman"/>
          <w:color w:val="000000"/>
          <w:sz w:val="20"/>
        </w:rPr>
        <w:t xml:space="preserve"> </w:t>
      </w:r>
      <w:r>
        <w:rPr>
          <w:rFonts w:ascii="Arial" w:hAnsi="Arial"/>
          <w:color w:val="000000"/>
          <w:sz w:val="20"/>
        </w:rPr>
        <w:t>million and $18.8</w:t>
      </w:r>
      <w:r>
        <w:rPr>
          <w:rFonts w:ascii="Times New Roman" w:hAnsi="Times New Roman"/>
          <w:color w:val="000000"/>
          <w:sz w:val="20"/>
        </w:rPr>
        <w:t xml:space="preserve"> </w:t>
      </w:r>
      <w:r>
        <w:rPr>
          <w:rFonts w:ascii="Arial" w:hAnsi="Arial"/>
          <w:color w:val="000000"/>
          <w:sz w:val="20"/>
        </w:rPr>
        <w:t>million of costs related to software developed for resale for the three months ended June 30, 2025 and 2024, respectively. Amortization expense for capitalized software development costs was $14.9</w:t>
      </w:r>
      <w:r>
        <w:rPr>
          <w:rFonts w:ascii="Times New Roman" w:hAnsi="Times New Roman"/>
          <w:color w:val="000000"/>
          <w:sz w:val="20"/>
        </w:rPr>
        <w:t xml:space="preserve"> </w:t>
      </w:r>
      <w:r>
        <w:rPr>
          <w:rFonts w:ascii="Arial" w:hAnsi="Arial"/>
          <w:color w:val="000000"/>
          <w:sz w:val="20"/>
        </w:rPr>
        <w:t>million and $14.3</w:t>
      </w:r>
      <w:r>
        <w:rPr>
          <w:rFonts w:ascii="Times New Roman" w:hAnsi="Times New Roman"/>
          <w:color w:val="000000"/>
          <w:sz w:val="20"/>
        </w:rPr>
        <w:t xml:space="preserve"> </w:t>
      </w:r>
      <w:r>
        <w:rPr>
          <w:rFonts w:ascii="Arial" w:hAnsi="Arial"/>
          <w:color w:val="000000"/>
          <w:sz w:val="20"/>
        </w:rPr>
        <w:t>million for the three months ended June 30, 2025 and 2024, respectively.</w:t>
      </w:r>
    </w:p>
    <w:p>
      <w:pPr>
        <w:pStyle w:val="TextBody"/>
        <w:bidi w:val="0"/>
        <w:spacing w:before="280" w:after="283"/>
        <w:jc w:val="left"/>
        <w:rPr>
          <w:rFonts w:ascii="Arial" w:hAnsi="Arial"/>
          <w:b/>
          <w:i/>
          <w:color w:val="000000"/>
          <w:sz w:val="20"/>
        </w:rPr>
      </w:pPr>
      <w:r>
        <w:rPr>
          <w:rFonts w:ascii="Arial" w:hAnsi="Arial"/>
          <w:b/>
          <w:i/>
          <w:color w:val="000000"/>
          <w:sz w:val="20"/>
        </w:rPr>
        <w:t>Self-insurance and post-retirement medical benefit liabilities</w:t>
      </w:r>
    </w:p>
    <w:p>
      <w:pPr>
        <w:pStyle w:val="TextBody"/>
        <w:bidi w:val="0"/>
        <w:spacing w:before="80" w:after="283"/>
        <w:jc w:val="left"/>
        <w:rPr>
          <w:rFonts w:ascii="Times New Roman" w:hAnsi="Times New Roman"/>
          <w:sz w:val="20"/>
        </w:rPr>
      </w:pPr>
      <w:r>
        <w:rPr>
          <w:rFonts w:ascii="Arial" w:hAnsi="Arial"/>
          <w:color w:val="000000"/>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recorded self-insurance liability for its plans of $5.5</w:t>
      </w:r>
      <w:r>
        <w:rPr>
          <w:rFonts w:ascii="Times New Roman" w:hAnsi="Times New Roman"/>
          <w:color w:val="000000"/>
          <w:sz w:val="20"/>
        </w:rPr>
        <w:t xml:space="preserve"> </w:t>
      </w:r>
      <w:r>
        <w:rPr>
          <w:rFonts w:ascii="Arial" w:hAnsi="Arial"/>
          <w:color w:val="000000"/>
          <w:sz w:val="20"/>
        </w:rPr>
        <w:t>million and $5.9</w:t>
      </w:r>
      <w:r>
        <w:rPr>
          <w:rFonts w:ascii="Times New Roman" w:hAnsi="Times New Roman"/>
          <w:color w:val="000000"/>
          <w:sz w:val="20"/>
        </w:rPr>
        <w:t xml:space="preserve"> </w:t>
      </w:r>
      <w:r>
        <w:rPr>
          <w:rFonts w:ascii="Arial" w:hAnsi="Arial"/>
          <w:color w:val="000000"/>
          <w:sz w:val="20"/>
        </w:rPr>
        <w:t>million as of June 30, 2025 and March 31, 2025,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the condensed consolidated balance sheets in accordance with the estimated timing of the projected payments.</w:t>
      </w:r>
    </w:p>
    <w:p>
      <w:pPr>
        <w:pStyle w:val="TextBody"/>
        <w:bidi w:val="0"/>
        <w:spacing w:before="180" w:after="283"/>
        <w:jc w:val="left"/>
        <w:rPr>
          <w:rFonts w:ascii="Times New Roman" w:hAnsi="Times New Roman"/>
          <w:sz w:val="20"/>
        </w:rPr>
      </w:pPr>
      <w:r>
        <w:rPr>
          <w:rFonts w:ascii="Arial" w:hAnsi="Arial"/>
          <w:color w:val="000000"/>
          <w:sz w:val="20"/>
        </w:rPr>
        <w:t>In fiscal year 2024, the Company completed the acquisition of Connect Topco Limited, a private company limited by shares and incorporated in Guernsey (Inmarsat Holdings and, together with its subsidiaries, Inmarsat, and such acquisition, the Inmarsat Acquisition). As a part of the Inmarsat Acquisition, the Company assumed a post-retirement medical benefit plan for retired employees (and their dependents) who were employed by Inmarsat before January 1, 1998.</w:t>
      </w:r>
      <w:r>
        <w:rPr>
          <w:rFonts w:ascii="Times New Roman" w:hAnsi="Times New Roman"/>
          <w:color w:val="000000"/>
          <w:sz w:val="20"/>
        </w:rPr>
        <w:t xml:space="preserve"> </w:t>
      </w:r>
      <w:r>
        <w:rPr>
          <w:rFonts w:ascii="Arial" w:hAnsi="Arial"/>
          <w:color w:val="000000"/>
          <w:sz w:val="20"/>
        </w:rPr>
        <w:t>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Indemnification provisions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2025 and March 31, 2025, no</w:t>
      </w:r>
      <w:r>
        <w:rPr>
          <w:rFonts w:ascii="Times New Roman" w:hAnsi="Times New Roman"/>
          <w:color w:val="000000"/>
          <w:sz w:val="20"/>
        </w:rPr>
        <w:t xml:space="preserve"> </w:t>
      </w:r>
      <w:r>
        <w:rPr>
          <w:rFonts w:ascii="Arial" w:hAnsi="Arial"/>
          <w:color w:val="000000"/>
          <w:sz w:val="20"/>
        </w:rPr>
        <w:t>such amounts were accrued related to the aforementioned provisions.</w:t>
      </w:r>
    </w:p>
    <w:p>
      <w:pPr>
        <w:pStyle w:val="TextBody"/>
        <w:bidi w:val="0"/>
        <w:spacing w:before="280" w:after="283"/>
        <w:jc w:val="left"/>
        <w:rPr>
          <w:rFonts w:ascii="Times New Roman" w:hAnsi="Times New Roman"/>
          <w:sz w:val="20"/>
        </w:rPr>
      </w:pPr>
      <w:r>
        <w:rPr>
          <w:rFonts w:ascii="Arial" w:hAnsi="Arial"/>
          <w:b/>
          <w:i/>
          <w:color w:val="000000"/>
          <w:sz w:val="20"/>
        </w:rPr>
        <w:t>Noncontrolling interests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pStyle w:val="TextBody"/>
        <w:bidi w:val="0"/>
        <w:spacing w:before="80" w:after="283"/>
        <w:jc w:val="left"/>
        <w:rPr>
          <w:rFonts w:ascii="Times New Roman" w:hAnsi="Times New Roman"/>
          <w:sz w:val="20"/>
        </w:rPr>
      </w:pPr>
      <w:r>
        <w:rPr>
          <w:rFonts w:ascii="Arial" w:hAnsi="Arial"/>
          <w:color w:val="000000"/>
          <w:sz w:val="20"/>
        </w:rPr>
        <w:t>In June 2025, TrellisWare declared a cash dividend for a total of $155.7</w:t>
      </w:r>
      <w:r>
        <w:rPr>
          <w:rFonts w:ascii="Times New Roman" w:hAnsi="Times New Roman"/>
          <w:color w:val="000000"/>
          <w:sz w:val="20"/>
        </w:rPr>
        <w:t xml:space="preserve"> </w:t>
      </w:r>
      <w:r>
        <w:rPr>
          <w:rFonts w:ascii="Arial" w:hAnsi="Arial"/>
          <w:color w:val="000000"/>
          <w:sz w:val="20"/>
        </w:rPr>
        <w:t>million. The Company's share of this dividend was $96.0</w:t>
      </w:r>
      <w:r>
        <w:rPr>
          <w:rFonts w:ascii="Times New Roman" w:hAnsi="Times New Roman"/>
          <w:color w:val="000000"/>
          <w:sz w:val="20"/>
        </w:rPr>
        <w:t xml:space="preserve"> </w:t>
      </w:r>
      <w:r>
        <w:rPr>
          <w:rFonts w:ascii="Arial" w:hAnsi="Arial"/>
          <w:color w:val="000000"/>
          <w:sz w:val="20"/>
        </w:rPr>
        <w:t>million. The remaining $59.7</w:t>
      </w:r>
      <w:r>
        <w:rPr>
          <w:rFonts w:ascii="Times New Roman" w:hAnsi="Times New Roman"/>
          <w:color w:val="000000"/>
          <w:sz w:val="20"/>
        </w:rPr>
        <w:t xml:space="preserve"> </w:t>
      </w:r>
      <w:r>
        <w:rPr>
          <w:rFonts w:ascii="Arial" w:hAnsi="Arial"/>
          <w:color w:val="000000"/>
          <w:sz w:val="20"/>
        </w:rPr>
        <w:t>million was recorded as a reduction to noncontrolling interest in subsidiary in the condensed consolidated balance sheet as of June 30, 2025. Of the portion attributable to noncontrolling interest, $45.9</w:t>
      </w:r>
      <w:r>
        <w:rPr>
          <w:rFonts w:ascii="Times New Roman" w:hAnsi="Times New Roman"/>
          <w:color w:val="000000"/>
          <w:sz w:val="20"/>
        </w:rPr>
        <w:t xml:space="preserve"> </w:t>
      </w:r>
      <w:r>
        <w:rPr>
          <w:rFonts w:ascii="Arial" w:hAnsi="Arial"/>
          <w:color w:val="000000"/>
          <w:sz w:val="20"/>
        </w:rPr>
        <w:t>million was paid to minority shareholders during the first quarter of fiscal year 2026 and $13.8</w:t>
      </w:r>
      <w:r>
        <w:rPr>
          <w:rFonts w:ascii="Times New Roman" w:hAnsi="Times New Roman"/>
          <w:color w:val="000000"/>
          <w:sz w:val="20"/>
        </w:rPr>
        <w:t xml:space="preserve"> </w:t>
      </w:r>
      <w:r>
        <w:rPr>
          <w:rFonts w:ascii="Arial" w:hAnsi="Arial"/>
          <w:color w:val="000000"/>
          <w:sz w:val="20"/>
        </w:rPr>
        <w:t>million was included in accrued and other liabilities in the condensed consolidated balance sheet as of June 30, 2025.</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Common stock held in treasury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June 30, 2025 and March 31, 2025, the Company had zero</w:t>
      </w:r>
      <w:r>
        <w:rPr>
          <w:rFonts w:ascii="Times New Roman" w:hAnsi="Times New Roman"/>
          <w:color w:val="000000"/>
          <w:sz w:val="20"/>
        </w:rPr>
        <w:t xml:space="preserve"> </w:t>
      </w:r>
      <w:r>
        <w:rPr>
          <w:rFonts w:ascii="Arial" w:hAnsi="Arial"/>
          <w:color w:val="000000"/>
          <w:sz w:val="20"/>
        </w:rPr>
        <w:t>shares of common stock held in treasury.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During the three months ended June 30, 2025 and 2024, the Company issued 1,351,971</w:t>
      </w:r>
      <w:r>
        <w:rPr>
          <w:rFonts w:ascii="Times New Roman" w:hAnsi="Times New Roman"/>
          <w:color w:val="000000"/>
          <w:sz w:val="20"/>
        </w:rPr>
        <w:t xml:space="preserve"> </w:t>
      </w:r>
      <w:r>
        <w:rPr>
          <w:rFonts w:ascii="Arial" w:hAnsi="Arial"/>
          <w:color w:val="000000"/>
          <w:sz w:val="20"/>
        </w:rPr>
        <w:t>and 220,113</w:t>
      </w:r>
      <w:r>
        <w:rPr>
          <w:rFonts w:ascii="Times New Roman" w:hAnsi="Times New Roman"/>
          <w:color w:val="000000"/>
          <w:sz w:val="20"/>
        </w:rPr>
        <w:t xml:space="preserve"> </w:t>
      </w:r>
      <w:r>
        <w:rPr>
          <w:rFonts w:ascii="Arial" w:hAnsi="Arial"/>
          <w:color w:val="000000"/>
          <w:sz w:val="20"/>
        </w:rPr>
        <w:t>shares of common stock, respectively, based on the vesting terms of certain restricted stock unit (RSU) and performance-based RSU (PSU) agreements. In order for employees to satisfy minimum statutory employee tax withholding requirements related to the issuance of common stock underlying these RSU and PSU agreements, during the three months ended June 30, 2025 and 2024, the Company repurchased 503,164</w:t>
      </w:r>
      <w:r>
        <w:rPr>
          <w:rFonts w:ascii="Times New Roman" w:hAnsi="Times New Roman"/>
          <w:color w:val="000000"/>
          <w:sz w:val="20"/>
        </w:rPr>
        <w:t xml:space="preserve"> </w:t>
      </w:r>
      <w:r>
        <w:rPr>
          <w:rFonts w:ascii="Arial" w:hAnsi="Arial"/>
          <w:color w:val="000000"/>
          <w:sz w:val="20"/>
        </w:rPr>
        <w:t>and 85,638</w:t>
      </w:r>
      <w:r>
        <w:rPr>
          <w:rFonts w:ascii="Times New Roman" w:hAnsi="Times New Roman"/>
          <w:color w:val="000000"/>
          <w:sz w:val="20"/>
        </w:rPr>
        <w:t xml:space="preserve"> </w:t>
      </w:r>
      <w:r>
        <w:rPr>
          <w:rFonts w:ascii="Arial" w:hAnsi="Arial"/>
          <w:color w:val="000000"/>
          <w:sz w:val="20"/>
        </w:rPr>
        <w:t>shares of common stock, respectively, at cost and with a total value of $4.7</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RSUs and PSUs. These retired shares remain as authorized stock and are considered to be unissued. The retirement of treasury stock had no impact on the Company’s total consolidated stockholders’ equity.</w:t>
      </w:r>
    </w:p>
    <w:p>
      <w:pPr>
        <w:pStyle w:val="TextBody"/>
        <w:bidi w:val="0"/>
        <w:spacing w:before="280" w:after="283"/>
        <w:jc w:val="left"/>
        <w:rPr>
          <w:rFonts w:ascii="Arial" w:hAnsi="Arial"/>
          <w:b/>
          <w:i/>
          <w:color w:val="000000"/>
          <w:sz w:val="20"/>
        </w:rPr>
      </w:pPr>
      <w:r>
        <w:rPr>
          <w:rFonts w:ascii="Arial" w:hAnsi="Arial"/>
          <w:b/>
          <w:i/>
          <w:color w:val="000000"/>
          <w:sz w:val="20"/>
        </w:rPr>
        <w:t>Derivatives</w:t>
      </w:r>
    </w:p>
    <w:p>
      <w:pPr>
        <w:pStyle w:val="TextBody"/>
        <w:bidi w:val="0"/>
        <w:spacing w:before="80" w:after="283"/>
        <w:jc w:val="left"/>
        <w:rPr>
          <w:rFonts w:ascii="Arial" w:hAnsi="Arial"/>
          <w:color w:val="000000"/>
          <w:sz w:val="20"/>
        </w:rPr>
      </w:pPr>
      <w:r>
        <w:rPr>
          <w:rFonts w:ascii="Arial" w:hAnsi="Arial"/>
          <w:color w:val="000000"/>
          <w:sz w:val="20"/>
        </w:rPr>
        <w:t>As a result of the Inmarsat Acquisition, the Company assumed interest rate cap contracts to hedge the variable interest rate under Inmarsat's senior secured term loan facilities. The interest rate cap contracts provided protection from Compound SOFR rates over 2%, covered the total nominal amount of Inmarsat's senior secured term loan facilities of $1.6 billion, and matured in February 2025. At the time of the acquisition, the Company continued to account for the interest rate cap contracts as cash-flow hedges. Upon amendment of Inmarsat's senior secured term loan facilities in March 2024 (see Note 6 — Senior Notes and Other Long-Term Debt for more information), the portion of the interest rate cap contracts related to Inmarsat's $1.3 billion senior secured term loan facility (the 2024 Inmarsat Term Loan Facility) continued to be accounted for as cash-flow hedges, as the interest rate cap contracts remained in place with their original maturity date.</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Company did not use this instrument, or these types of instruments in general, for speculative or trading purposes. The Company’s objective was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pStyle w:val="TextBody"/>
        <w:bidi w:val="0"/>
        <w:spacing w:before="180" w:after="283"/>
        <w:jc w:val="left"/>
        <w:rPr>
          <w:rFonts w:ascii="Arial" w:hAnsi="Arial"/>
          <w:color w:val="000000"/>
          <w:sz w:val="20"/>
        </w:rPr>
      </w:pPr>
      <w:r>
        <w:rPr>
          <w:rFonts w:ascii="Arial" w:hAnsi="Arial"/>
          <w:color w:val="000000"/>
          <w:sz w:val="20"/>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in the condensed consolidated statements of operations and comprehensive income (loss) as the earnings of the hedge item, with the offset recorded to other comprehensive income (loss).</w:t>
      </w:r>
    </w:p>
    <w:p>
      <w:pPr>
        <w:pStyle w:val="TextBody"/>
        <w:bidi w:val="0"/>
        <w:spacing w:before="180" w:after="283"/>
        <w:jc w:val="left"/>
        <w:rPr>
          <w:rFonts w:ascii="Times New Roman" w:hAnsi="Times New Roman"/>
          <w:sz w:val="20"/>
        </w:rPr>
      </w:pPr>
      <w:r>
        <w:rPr>
          <w:rFonts w:ascii="Arial" w:hAnsi="Arial"/>
          <w:color w:val="000000"/>
          <w:sz w:val="20"/>
        </w:rPr>
        <w:t>During the three months ended June 30, 2024, the Company recognized a gain of $3.2</w:t>
      </w:r>
      <w:r>
        <w:rPr>
          <w:rFonts w:ascii="Times New Roman" w:hAnsi="Times New Roman"/>
          <w:color w:val="000000"/>
          <w:sz w:val="20"/>
        </w:rPr>
        <w:t xml:space="preserve"> </w:t>
      </w:r>
      <w:r>
        <w:rPr>
          <w:rFonts w:ascii="Arial" w:hAnsi="Arial"/>
          <w:color w:val="000000"/>
          <w:sz w:val="20"/>
        </w:rPr>
        <w:t>million (and related tax expense of an insignificant amount) in other comprehensive income arising from changes in the fair value of the interest rate cap contracts (designated as cash-flow hedging instruments) related to Inmarsat's senior secured term loan facilities. During the three months ended June 30, 2024, the Company recorded a decrease of $4.6</w:t>
      </w:r>
      <w:r>
        <w:rPr>
          <w:rFonts w:ascii="Times New Roman" w:hAnsi="Times New Roman"/>
          <w:color w:val="000000"/>
          <w:sz w:val="20"/>
        </w:rPr>
        <w:t xml:space="preserve"> </w:t>
      </w:r>
      <w:r>
        <w:rPr>
          <w:rFonts w:ascii="Arial" w:hAnsi="Arial"/>
          <w:color w:val="000000"/>
          <w:sz w:val="20"/>
        </w:rPr>
        <w:t>million (and related tax benefit of $1.2</w:t>
      </w:r>
      <w:r>
        <w:rPr>
          <w:rFonts w:ascii="Times New Roman" w:hAnsi="Times New Roman"/>
          <w:color w:val="000000"/>
          <w:sz w:val="20"/>
        </w:rPr>
        <w:t xml:space="preserve"> </w:t>
      </w:r>
      <w:r>
        <w:rPr>
          <w:rFonts w:ascii="Arial" w:hAnsi="Arial"/>
          <w:color w:val="000000"/>
          <w:sz w:val="20"/>
        </w:rPr>
        <w:t>million) to other comprehensive income and interest expense, net of the recognition into income of the non-zero hedge inception fair value (based on the nature of the underlying transaction). During the three months ended June 30, 2024, the Company received $14.1</w:t>
      </w:r>
      <w:r>
        <w:rPr>
          <w:rFonts w:ascii="Times New Roman" w:hAnsi="Times New Roman"/>
          <w:color w:val="000000"/>
          <w:sz w:val="20"/>
        </w:rPr>
        <w:t xml:space="preserve"> </w:t>
      </w:r>
      <w:r>
        <w:rPr>
          <w:rFonts w:ascii="Arial" w:hAnsi="Arial"/>
          <w:color w:val="000000"/>
          <w:sz w:val="20"/>
        </w:rPr>
        <w:t>million as a result of periodic cash settlements, which was included in operating cash flows in the condensed consolidated statements of cash flows.</w:t>
      </w:r>
    </w:p>
    <w:p>
      <w:pPr>
        <w:pStyle w:val="TextBody"/>
        <w:bidi w:val="0"/>
        <w:spacing w:before="280" w:after="283"/>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accordance with the authoritative guidance for share-based payments (ASC 718), the Company measures stock-based compensation cost at the grant date, based on the estimated fair value of the award. Expense for RSUs and stock options is recognized on a straight-line basis over the employee’s requisite service period. Expense for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recognized $14.7</w:t>
      </w:r>
      <w:r>
        <w:rPr>
          <w:rFonts w:ascii="Times New Roman" w:hAnsi="Times New Roman"/>
          <w:color w:val="000000"/>
          <w:sz w:val="20"/>
        </w:rPr>
        <w:t xml:space="preserve"> </w:t>
      </w:r>
      <w:r>
        <w:rPr>
          <w:rFonts w:ascii="Arial" w:hAnsi="Arial"/>
          <w:color w:val="000000"/>
          <w:sz w:val="20"/>
        </w:rPr>
        <w:t>million and $19.2</w:t>
      </w:r>
      <w:r>
        <w:rPr>
          <w:rFonts w:ascii="Times New Roman" w:hAnsi="Times New Roman"/>
          <w:color w:val="000000"/>
          <w:sz w:val="20"/>
        </w:rPr>
        <w:t xml:space="preserve"> </w:t>
      </w:r>
      <w:r>
        <w:rPr>
          <w:rFonts w:ascii="Arial" w:hAnsi="Arial"/>
          <w:color w:val="000000"/>
          <w:sz w:val="20"/>
        </w:rPr>
        <w:t>million of stock-based compensation expense for the three months ended June 30, 2025 and 2024, respectively. The Company recognizes excess tax benefits or deficiencies on vesting or settlement of awards as discrete items within income tax benefit or provision within net income (loss) and the related cash flows are classified within operating activities.</w:t>
      </w:r>
    </w:p>
    <w:p>
      <w:pPr>
        <w:pStyle w:val="TextBody"/>
        <w:bidi w:val="0"/>
        <w:spacing w:before="28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Ordinarily, the Company calculates its provision for income taxes at the end of each interim reporting period on the basis of an estimated annual effective tax rate adjusted for tax items that are discrete to each period.</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pStyle w:val="TextBody"/>
        <w:bidi w:val="0"/>
        <w:spacing w:before="280" w:after="283"/>
        <w:jc w:val="left"/>
        <w:rPr>
          <w:rFonts w:ascii="Arial" w:hAnsi="Arial"/>
          <w:b/>
          <w:i/>
          <w:color w:val="000000"/>
          <w:sz w:val="20"/>
        </w:rPr>
      </w:pPr>
      <w:r>
        <w:rPr>
          <w:rFonts w:ascii="Arial" w:hAnsi="Arial"/>
          <w:b/>
          <w:i/>
          <w:color w:val="000000"/>
          <w:sz w:val="20"/>
        </w:rPr>
        <w:t>Recent authoritative guidance</w:t>
      </w:r>
    </w:p>
    <w:p>
      <w:pPr>
        <w:pStyle w:val="TextBody"/>
        <w:bidi w:val="0"/>
        <w:spacing w:before="180" w:after="283"/>
        <w:jc w:val="left"/>
        <w:rPr>
          <w:rFonts w:ascii="Arial" w:hAnsi="Arial"/>
          <w:color w:val="000000"/>
          <w:sz w:val="20"/>
        </w:rPr>
      </w:pPr>
      <w:r>
        <w:rPr>
          <w:rFonts w:ascii="Arial" w:hAnsi="Arial"/>
          <w:color w:val="000000"/>
          <w:sz w:val="20"/>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2023, the FASB issued ASU 2023-07, Segment Reporting (Topic 280): Improvements to Reportable Segment Disclosures. This ASU requires public entities to enhance disclosures about their reportable segments' significant expenses on an interim and annual basis. The Company adopted the new guidance for annual disclosures in fiscal year 2025 and for interim disclosures in the first quarter of fiscal year 2026 on a retrospective basis. See Note 10 — Segment Information for additional information.</w:t>
      </w:r>
    </w:p>
    <w:p>
      <w:pPr>
        <w:pStyle w:val="TextBody"/>
        <w:bidi w:val="0"/>
        <w:spacing w:before="180" w:after="283"/>
        <w:jc w:val="left"/>
        <w:rPr>
          <w:rFonts w:ascii="Arial" w:hAnsi="Arial"/>
          <w:color w:val="000000"/>
          <w:sz w:val="20"/>
        </w:rPr>
      </w:pPr>
      <w:r>
        <w:rPr>
          <w:rFonts w:ascii="Arial" w:hAnsi="Arial"/>
          <w:color w:val="000000"/>
          <w:sz w:val="20"/>
        </w:rPr>
        <w:t>In December 2023, the FASB issued ASU 2023-09, Income Taxes (Topic 740): Improvements to Income Tax Disclosures. ASU 2023-09 enhances annual income tax disclosures by requiring disclosure of specific categories in the income tax rate reconciliation table and disaggregation of income taxes paid. The new standard will become effective for the Company's annual disclosures beginning in fiscal year 2026. Early adoption is permitted and the new standard should be applied prospectively, however retrospective application is permitted.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Company adopted the new guidance on a prospective basis in the first quarter of fiscal year 2026 and the guidance did not have an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As clarified in ASU 2025-01, Income Statement – Reporting Comprehensive Income – Expense Disaggregation Disclosures (Subtopic 220-40): Clarifying the Effective Date,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May 2025, the FASB issued ASU 2025-04, Compensation – Stock Compensation (Topic 718) and Revenue from Contracts with Customers (Topic 606): Clarifications to Share-Based Consideration Payable to a Customer. The purpose of this ASU is to reduce diversity in practice and improve the decision usefulness and operability of the guidance for share-based consideration payable to a customer in conjunction with selling goods or services. The new standard will become effective for the Company's interim and annual disclosures beginning in fiscal year 2028. Early adoption is permitted and the new guidance can be applied either on a modified retrospective or a retrospective basis. The Company is currently evaluating the impact of this standard on its consolidated financial statements and disclosures.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2 — Composition of Certain Balance Sheet Captions</w:t>
      </w:r>
      <w:r>
        <w:rPr>
          <w:rFonts w:ascii="Times New Roman" w:hAnsi="Times New Roman"/>
          <w:color w:val="000000"/>
          <w:sz w:val="20"/>
        </w:rPr>
        <w:t xml:space="preserve"> </w:t>
      </w:r>
    </w:p>
    <w:p>
      <w:pPr>
        <w:pStyle w:val="TextBody"/>
        <w:bidi w:val="0"/>
        <w:jc w:val="left"/>
        <w:rPr/>
      </w:pPr>
      <w:r>
        <w:rPr/>
        <w:t> </w:t>
      </w:r>
    </w:p>
    <w:tbl>
      <w:tblPr>
        <w:tblW w:w="10112" w:type="dxa"/>
        <w:jc w:val="left"/>
        <w:tblInd w:w="0" w:type="dxa"/>
        <w:tblLayout w:type="fixed"/>
        <w:tblCellMar>
          <w:top w:w="28" w:type="dxa"/>
          <w:left w:w="28" w:type="dxa"/>
          <w:bottom w:w="28" w:type="dxa"/>
          <w:right w:w="28" w:type="dxa"/>
        </w:tblCellMar>
      </w:tblPr>
      <w:tblGrid>
        <w:gridCol w:w="7026"/>
        <w:gridCol w:w="146"/>
        <w:gridCol w:w="196"/>
        <w:gridCol w:w="916"/>
        <w:gridCol w:w="166"/>
        <w:gridCol w:w="146"/>
        <w:gridCol w:w="198"/>
        <w:gridCol w:w="927"/>
        <w:gridCol w:w="391"/>
      </w:tblGrid>
      <w:tr>
        <w:trPr/>
        <w:tc>
          <w:tcPr>
            <w:tcW w:w="7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 xml:space="preserve">As of </w:t>
              <w:br/>
              <w:t>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As of</w:t>
              <w:br/>
              <w:t>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539,522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180,871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686,185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699,552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96,893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293,943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176,694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282,343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Equipment and software (estimated useful life of 3-7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3,941,901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3,837,083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CPE leased equipment (estimated useful life of 4-7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524,974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525,972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Furniture and fixtures (estimated useful life of</w:t>
            </w:r>
            <w:r>
              <w:rPr>
                <w:rFonts w:ascii="Times New Roman" w:hAnsi="Times New Roman"/>
                <w:color w:val="000000"/>
                <w:sz w:val="20"/>
              </w:rPr>
              <w:t xml:space="preserve"> </w:t>
            </w:r>
            <w:r>
              <w:rPr>
                <w:rFonts w:ascii="Arial" w:hAnsi="Arial"/>
                <w:color w:val="000000"/>
                <w:sz w:val="16"/>
              </w:rPr>
              <w:t>7</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Leasehold improvements (estimated useful life of 2-20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313,249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Buildings (estimated useful life of 12-38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732,318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722,194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(estimated useful life of 7-17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3,412,660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3,405,067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 Ka-band capacity obtained under finance leases (estimated useful life of 7-15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338,201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Satellites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2,269,050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2,205,305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11,627,598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11,440,273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(4,288,128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(4,034,609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7,339,470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7,405,664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Contracts and customer relationships (weighted average useful life of 11</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1,432,562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Orbital slots and spectrum assets (weighted average useful life of 12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Technology (weighted average useful life of 7</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247,921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Trade names (weighted average useful life of 8</w:t>
            </w:r>
            <w:r>
              <w:rPr>
                <w:rFonts w:ascii="Times New Roman" w:hAnsi="Times New Roman"/>
                <w:color w:val="000000"/>
                <w:sz w:val="20"/>
              </w:rPr>
              <w:t> </w:t>
            </w:r>
            <w:r>
              <w:rPr>
                <w:rFonts w:ascii="Arial" w:hAnsi="Arial"/>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116,949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Other (weighted average useful life of 9</w:t>
            </w:r>
            <w:r>
              <w:rPr>
                <w:rFonts w:ascii="Times New Roman" w:hAnsi="Times New Roman"/>
                <w:color w:val="000000"/>
                <w:sz w:val="20"/>
              </w:rPr>
              <w:t> </w:t>
            </w:r>
            <w:r>
              <w:rPr>
                <w:rFonts w:ascii="Arial" w:hAnsi="Arial"/>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2,879,415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2,904,049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(633,272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2,191,774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2,270,777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160,452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Capitalized software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264,492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Patents, orbital slots and other licenses,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119,193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853,057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845,778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Collections in excess of revenues and 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294,034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185,556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52,183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264,795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867,316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908,529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779,444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786,710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1,069,717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324,726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2,166,448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2,181,153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3 — Fair Value Measurements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pStyle w:val="TextBody"/>
        <w:bidi w:val="0"/>
        <w:spacing w:before="120" w:after="283"/>
        <w:jc w:val="left"/>
        <w:rPr>
          <w:rFonts w:ascii="Arial" w:hAnsi="Arial"/>
          <w:color w:val="000000"/>
          <w:sz w:val="20"/>
        </w:rPr>
      </w:pPr>
      <w:r>
        <w:rPr>
          <w:rFonts w:ascii="Arial" w:hAnsi="Arial"/>
          <w:color w:val="000000"/>
          <w:sz w:val="20"/>
        </w:rPr>
        <w:t> Level 1 — Inputs based on quoted market prices for identical assets or liabilities in active markets at the measurement date.</w:t>
      </w:r>
    </w:p>
    <w:p>
      <w:pPr>
        <w:pStyle w:val="TextBody"/>
        <w:bidi w:val="0"/>
        <w:spacing w:before="120" w:after="283"/>
        <w:jc w:val="left"/>
        <w:rPr>
          <w:rFonts w:ascii="Arial" w:hAnsi="Arial"/>
          <w:color w:val="000000"/>
          <w:sz w:val="20"/>
        </w:rPr>
      </w:pPr>
      <w:r>
        <w:rPr>
          <w:rFonts w:ascii="Arial" w:hAnsi="Arial"/>
          <w:color w:val="000000"/>
          <w:sz w:val="20"/>
        </w:rPr>
        <w:t> 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left"/>
        <w:rPr>
          <w:rFonts w:ascii="Arial" w:hAnsi="Arial"/>
          <w:color w:val="000000"/>
          <w:sz w:val="20"/>
        </w:rPr>
      </w:pPr>
      <w:r>
        <w:rPr>
          <w:rFonts w:ascii="Arial" w:hAnsi="Arial"/>
          <w:color w:val="000000"/>
          <w:sz w:val="20"/>
        </w:rPr>
        <w:t> Level 3 — Inputs which reflect management’s best estimate of what market participants would use in pricing the asset or liability at the measurement date. The inputs are unobservable in the market and significant to the instrument’s valuation.</w:t>
      </w:r>
    </w:p>
    <w:p>
      <w:pPr>
        <w:pStyle w:val="TextBody"/>
        <w:bidi w:val="0"/>
        <w:spacing w:before="180" w:after="283"/>
        <w:jc w:val="left"/>
        <w:rPr>
          <w:rFonts w:ascii="Times New Roman" w:hAnsi="Times New Roman"/>
          <w:sz w:val="20"/>
        </w:rPr>
      </w:pPr>
      <w:r>
        <w:rPr>
          <w:rFonts w:ascii="Arial" w:hAnsi="Arial"/>
          <w:color w:val="000000"/>
          <w:sz w:val="20"/>
        </w:rPr>
        <w:t>The following tables present the Company's hierarchy for its assets measured at fair value on a recurring basis as of June 30, 2025 and March 31, 2025. The Company had no</w:t>
      </w:r>
      <w:r>
        <w:rPr>
          <w:rFonts w:ascii="Times New Roman" w:hAnsi="Times New Roman"/>
          <w:color w:val="000000"/>
          <w:sz w:val="20"/>
        </w:rPr>
        <w:t xml:space="preserve"> </w:t>
      </w:r>
      <w:r>
        <w:rPr>
          <w:rFonts w:ascii="Arial" w:hAnsi="Arial"/>
          <w:color w:val="000000"/>
          <w:sz w:val="20"/>
        </w:rPr>
        <w:t>liabilities measured at fair value on a recurring basis as of both June 30, 2025 and March 31, 2025.</w:t>
      </w:r>
    </w:p>
    <w:p>
      <w:pPr>
        <w:pStyle w:val="TextBody"/>
        <w:bidi w:val="0"/>
        <w:jc w:val="left"/>
        <w:rPr/>
      </w:pPr>
      <w:r>
        <w:rPr/>
        <w:t> </w:t>
      </w:r>
    </w:p>
    <w:tbl>
      <w:tblPr>
        <w:tblW w:w="10106" w:type="dxa"/>
        <w:jc w:val="left"/>
        <w:tblInd w:w="0" w:type="dxa"/>
        <w:tblLayout w:type="fixed"/>
        <w:tblCellMar>
          <w:top w:w="28" w:type="dxa"/>
          <w:left w:w="28" w:type="dxa"/>
          <w:bottom w:w="28" w:type="dxa"/>
          <w:right w:w="28" w:type="dxa"/>
        </w:tblCellMar>
      </w:tblPr>
      <w:tblGrid>
        <w:gridCol w:w="4966"/>
        <w:gridCol w:w="146"/>
        <w:gridCol w:w="276"/>
        <w:gridCol w:w="1044"/>
        <w:gridCol w:w="146"/>
        <w:gridCol w:w="146"/>
        <w:gridCol w:w="211"/>
        <w:gridCol w:w="796"/>
        <w:gridCol w:w="146"/>
        <w:gridCol w:w="146"/>
        <w:gridCol w:w="250"/>
        <w:gridCol w:w="410"/>
        <w:gridCol w:w="146"/>
        <w:gridCol w:w="146"/>
        <w:gridCol w:w="250"/>
        <w:gridCol w:w="410"/>
        <w:gridCol w:w="47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following section describes the valuation methodologies the Company uses to measure financial instruments at fair value:</w:t>
      </w:r>
    </w:p>
    <w:p>
      <w:pPr>
        <w:pStyle w:val="TextBody"/>
        <w:bidi w:val="0"/>
        <w:spacing w:before="180" w:after="283"/>
        <w:jc w:val="left"/>
        <w:rPr>
          <w:rFonts w:ascii="Times New Roman" w:hAnsi="Times New Roman"/>
          <w:sz w:val="20"/>
        </w:rPr>
      </w:pPr>
      <w:r>
        <w:rPr>
          <w:rFonts w:ascii="Arial" w:hAnsi="Arial"/>
          <w:i/>
          <w:color w:val="000000"/>
          <w:sz w:val="20"/>
        </w:rPr>
        <w:t xml:space="preserve">Cash equivalents </w:t>
      </w:r>
      <w:r>
        <w:rPr>
          <w:rFonts w:ascii="Times New Roman" w:hAnsi="Times New Roman"/>
          <w:color w:val="000000"/>
          <w:sz w:val="20"/>
        </w:rPr>
        <w:t xml:space="preserve">— </w:t>
      </w:r>
      <w:r>
        <w:rPr>
          <w:rFonts w:ascii="Arial" w:hAnsi="Arial"/>
          <w:color w:val="000000"/>
          <w:sz w:val="20"/>
        </w:rPr>
        <w:t>The Company’s cash equivalents consist of money market funds, with a significant portion held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i/>
          <w:color w:val="000000"/>
          <w:sz w:val="20"/>
        </w:rPr>
        <w:t xml:space="preserve">Long-term debt </w:t>
      </w:r>
      <w:r>
        <w:rPr>
          <w:rFonts w:ascii="Times New Roman" w:hAnsi="Times New Roman"/>
          <w:color w:val="000000"/>
          <w:sz w:val="20"/>
        </w:rPr>
        <w:t xml:space="preserve">— </w:t>
      </w:r>
      <w:r>
        <w:rPr>
          <w:rFonts w:ascii="Arial" w:hAnsi="Arial"/>
          <w:color w:val="000000"/>
          <w:sz w:val="20"/>
        </w:rPr>
        <w:t>As of June 30, 2025, the Company’s long-term debt (including current portion) was comprised of (1) $600.0 million in aggregate principal amount of Viasat's 5.625% Senior Secured Notes due 2027 (the 2027 Notes), $400.0 million in aggregate principal amount of Viasat's 6.500% Senior Notes due 2028 (the 2028 Notes), $1.975 billion in aggregate principal amount of Inmarsat's 9.000% Senior Secured Notes due 2029 (the Inmarsat 2029 Notes), and $733.4 million in aggregate principal amount of Viasat’s 7.500% Senior Notes due 2031 (the 2031 Notes), (2) borrowings under Viasat’s $700.0 million senior secured term loan facility (the 2022 Term Loan Facility), borrowings under Viasat’s $616.7 million senior secured term loan facility (the 2023 Term Loan Facility), borrowings under the 2024 Inmarsat Term Loan Facility, borrowings under Inmarsat’s original senior secured term loan facility (the Original Inmarsat Term Loan Facility and, together with the 2024 Inmarsat Term Loan Facility, the Inmarsat Term Loan Facilities) and borrowings under Viasat’s direct loan facility with the Export-Import Bank of the United States (the Ex-Im Credit Facility), and (3) finance lease obligations reported at the present value of future minimum lease payments with current accrued interest. Long-term debt related 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 As of June 30, 2025 and March 31, 2025, the fair value of the Company’s long-term debt related to the Ex-Im Credit Facility was Level 2 and was approximately $9.7</w:t>
      </w:r>
      <w:r>
        <w:rPr>
          <w:rFonts w:ascii="Times New Roman" w:hAnsi="Times New Roman"/>
          <w:color w:val="000000"/>
          <w:sz w:val="20"/>
        </w:rPr>
        <w:t xml:space="preserve"> </w:t>
      </w:r>
      <w:r>
        <w:rPr>
          <w:rFonts w:ascii="Arial" w:hAnsi="Arial"/>
          <w:color w:val="000000"/>
          <w:sz w:val="20"/>
        </w:rPr>
        <w:t>million and $19.2</w:t>
      </w:r>
      <w:r>
        <w:rPr>
          <w:rFonts w:ascii="Times New Roman" w:hAnsi="Times New Roman"/>
          <w:color w:val="000000"/>
          <w:sz w:val="20"/>
        </w:rPr>
        <w:t xml:space="preserve"> </w:t>
      </w:r>
      <w:r>
        <w:rPr>
          <w:rFonts w:ascii="Arial" w:hAnsi="Arial"/>
          <w:color w:val="000000"/>
          <w:sz w:val="20"/>
        </w:rPr>
        <w:t>million, respectively. As of June 30, 2025 and March 31, 2025, the estimated fair value of the Company’s outstanding long-term debt related to each series of Notes was Level 2 and was $597.5</w:t>
      </w:r>
      <w:r>
        <w:rPr>
          <w:rFonts w:ascii="Times New Roman" w:hAnsi="Times New Roman"/>
          <w:color w:val="000000"/>
          <w:sz w:val="20"/>
        </w:rPr>
        <w:t xml:space="preserve"> </w:t>
      </w:r>
      <w:r>
        <w:rPr>
          <w:rFonts w:ascii="Arial" w:hAnsi="Arial"/>
          <w:color w:val="000000"/>
          <w:sz w:val="20"/>
        </w:rPr>
        <w:t>million and $575.0</w:t>
      </w:r>
      <w:r>
        <w:rPr>
          <w:rFonts w:ascii="Times New Roman" w:hAnsi="Times New Roman"/>
          <w:color w:val="000000"/>
          <w:sz w:val="20"/>
        </w:rPr>
        <w:t xml:space="preserve"> </w:t>
      </w:r>
      <w:r>
        <w:rPr>
          <w:rFonts w:ascii="Arial" w:hAnsi="Arial"/>
          <w:color w:val="000000"/>
          <w:sz w:val="20"/>
        </w:rPr>
        <w:t>million, respectively, for the 2027 Notes, $378.0</w:t>
      </w:r>
      <w:r>
        <w:rPr>
          <w:rFonts w:ascii="Times New Roman" w:hAnsi="Times New Roman"/>
          <w:color w:val="000000"/>
          <w:sz w:val="20"/>
        </w:rPr>
        <w:t xml:space="preserve"> </w:t>
      </w:r>
      <w:r>
        <w:rPr>
          <w:rFonts w:ascii="Arial" w:hAnsi="Arial"/>
          <w:color w:val="000000"/>
          <w:sz w:val="20"/>
        </w:rPr>
        <w:t>million and $350.0</w:t>
      </w:r>
      <w:r>
        <w:rPr>
          <w:rFonts w:ascii="Times New Roman" w:hAnsi="Times New Roman"/>
          <w:color w:val="000000"/>
          <w:sz w:val="20"/>
        </w:rPr>
        <w:t xml:space="preserve"> </w:t>
      </w:r>
      <w:r>
        <w:rPr>
          <w:rFonts w:ascii="Arial" w:hAnsi="Arial"/>
          <w:color w:val="000000"/>
          <w:sz w:val="20"/>
        </w:rPr>
        <w:t>million, respectively, for the 2028 Notes, $1.99</w:t>
      </w:r>
      <w:r>
        <w:rPr>
          <w:rFonts w:ascii="Times New Roman" w:hAnsi="Times New Roman"/>
          <w:color w:val="000000"/>
          <w:sz w:val="20"/>
        </w:rPr>
        <w:t xml:space="preserve"> </w:t>
      </w:r>
      <w:r>
        <w:rPr>
          <w:rFonts w:ascii="Arial" w:hAnsi="Arial"/>
          <w:color w:val="000000"/>
          <w:sz w:val="20"/>
        </w:rPr>
        <w:t>billion and</w:t>
      </w:r>
      <w:r>
        <w:rPr>
          <w:rFonts w:ascii="Times New Roman" w:hAnsi="Times New Roman"/>
          <w:color w:val="000000"/>
          <w:sz w:val="20"/>
        </w:rPr>
        <w:t xml:space="preserve"> </w:t>
      </w:r>
      <w:r>
        <w:rPr>
          <w:rFonts w:ascii="Arial" w:hAnsi="Arial"/>
          <w:color w:val="000000"/>
          <w:sz w:val="20"/>
        </w:rPr>
        <w:t>$1.82</w:t>
      </w:r>
      <w:r>
        <w:rPr>
          <w:rFonts w:ascii="Times New Roman" w:hAnsi="Times New Roman"/>
          <w:color w:val="000000"/>
          <w:sz w:val="20"/>
        </w:rPr>
        <w:t xml:space="preserve"> </w:t>
      </w:r>
      <w:r>
        <w:rPr>
          <w:rFonts w:ascii="Arial" w:hAnsi="Arial"/>
          <w:color w:val="000000"/>
          <w:sz w:val="20"/>
        </w:rPr>
        <w:t>billion, respectively, for the Inmarsat 2029 Notes, and $635.4</w:t>
      </w:r>
      <w:r>
        <w:rPr>
          <w:rFonts w:ascii="Times New Roman" w:hAnsi="Times New Roman"/>
          <w:color w:val="000000"/>
          <w:sz w:val="20"/>
        </w:rPr>
        <w:t xml:space="preserve"> </w:t>
      </w:r>
      <w:r>
        <w:rPr>
          <w:rFonts w:ascii="Arial" w:hAnsi="Arial"/>
          <w:color w:val="000000"/>
          <w:sz w:val="20"/>
        </w:rPr>
        <w:t>million and $552.8</w:t>
      </w:r>
      <w:r>
        <w:rPr>
          <w:rFonts w:ascii="Times New Roman" w:hAnsi="Times New Roman"/>
          <w:color w:val="000000"/>
          <w:sz w:val="20"/>
        </w:rPr>
        <w:t xml:space="preserve"> </w:t>
      </w:r>
      <w:r>
        <w:rPr>
          <w:rFonts w:ascii="Arial" w:hAnsi="Arial"/>
          <w:color w:val="000000"/>
          <w:sz w:val="20"/>
        </w:rPr>
        <w:t>million, respectively, for the 2031 Notes. As of March 31, 2025, the estimated fair value of Viasat's 5.625% Senior Notes due 2025 (the 2025 Notes) was Level 2 and was $438.6</w:t>
      </w:r>
      <w:r>
        <w:rPr>
          <w:rFonts w:ascii="Times New Roman" w:hAnsi="Times New Roman"/>
          <w:color w:val="000000"/>
          <w:sz w:val="20"/>
        </w:rPr>
        <w:t xml:space="preserve"> </w:t>
      </w:r>
      <w:r>
        <w:rPr>
          <w:rFonts w:ascii="Arial" w:hAnsi="Arial"/>
          <w:color w:val="000000"/>
          <w:sz w:val="20"/>
        </w:rPr>
        <w:t>million. The 2025 Notes were redeemed in full during the first quarter of fiscal year 2026.</w:t>
      </w:r>
    </w:p>
    <w:p>
      <w:pPr>
        <w:pStyle w:val="TextBody"/>
        <w:bidi w:val="0"/>
        <w:spacing w:before="180" w:after="283"/>
        <w:jc w:val="left"/>
        <w:rPr>
          <w:rFonts w:ascii="Times New Roman" w:hAnsi="Times New Roman"/>
          <w:sz w:val="20"/>
        </w:rPr>
      </w:pPr>
      <w:r>
        <w:rPr>
          <w:rFonts w:ascii="Arial" w:hAnsi="Arial"/>
          <w:i/>
          <w:color w:val="000000"/>
          <w:sz w:val="20"/>
        </w:rPr>
        <w:t>Satellite performance incentive obligations</w:t>
      </w:r>
      <w:r>
        <w:rPr>
          <w:rFonts w:ascii="Times New Roman" w:hAnsi="Times New Roman"/>
          <w:color w:val="000000"/>
          <w:sz w:val="20"/>
        </w:rPr>
        <w:t xml:space="preserve"> — </w:t>
      </w:r>
      <w:r>
        <w:rPr>
          <w:rFonts w:ascii="Arial" w:hAnsi="Arial"/>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2025 and March 31, 2025, the Company’s estimated satellite performance incentive obligations relating to certain satellites in commercial service, including accrued interest, were $10.4</w:t>
      </w:r>
      <w:r>
        <w:rPr>
          <w:rFonts w:ascii="Times New Roman" w:hAnsi="Times New Roman"/>
          <w:color w:val="000000"/>
          <w:sz w:val="20"/>
        </w:rPr>
        <w:t xml:space="preserve"> </w:t>
      </w:r>
      <w:r>
        <w:rPr>
          <w:rFonts w:ascii="Arial" w:hAnsi="Arial"/>
          <w:color w:val="000000"/>
          <w:sz w:val="20"/>
        </w:rPr>
        <w:t>million and $11.4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left"/>
        <w:rPr>
          <w:rFonts w:ascii="Times New Roman" w:hAnsi="Times New Roman"/>
          <w:sz w:val="20"/>
        </w:rPr>
      </w:pPr>
      <w:r>
        <w:rPr>
          <w:rFonts w:ascii="Arial" w:hAnsi="Arial"/>
          <w:b/>
          <w:color w:val="000000"/>
          <w:sz w:val="20"/>
        </w:rPr>
        <w:t>Note 4 — Shares Used In Computing Diluted Net Income (Loss) Per Share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weighted average number of shares used to calculate basic and diluted net loss per share attributable to Viasat, Inc. common stockholders was the same for the three months ended June 30, 2025 and 2024, as the Company incurred a net loss attributable to Viasat, Inc. common stockholders for such periods and inclusion of potentially dilutive weighted average shares of common stock would be antidilutive.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the three months ended June 30, 2025 and 2024 consisted of 189,202 shares and 221,949 shares, respectively, related to stock options (other than market-based performance stock options), 45,736 and zero shares, respectively, related to market-based performance stock options and market condition PSUs, 4,958,370 shares and 3,705,569 shares, respectively, related to RSUs (other than PSUs), 281,178 shares and 72,660 shares, respectively, related to performance condition PSUs, and 2,429,150 shares and 1,666,593 shares, respectively, related to certain terms of the Viasat 401(k) Profit Sharing Plan and Employee Stock Purchase Plan.</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Note 5 — Goodwill and Acquired Intangible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During the three months ended June 30, 2025 and 2024, the insignificant increase in the Company’s goodwill was primarily related to foreign currency translation effect recorded within both of the Company's segments.</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Acquired intangible assets are amortized using the straight-line method over their estimated useful lives of two to 12 years (which approximates the economic pattern of benefit). Amortization expense related to acquired intangible assets was $65.7</w:t>
      </w:r>
      <w:r>
        <w:rPr>
          <w:rFonts w:ascii="Times New Roman" w:hAnsi="Times New Roman"/>
          <w:color w:val="000000"/>
          <w:sz w:val="20"/>
        </w:rPr>
        <w:t xml:space="preserve"> </w:t>
      </w:r>
      <w:r>
        <w:rPr>
          <w:rFonts w:ascii="Arial" w:hAnsi="Arial"/>
          <w:color w:val="000000"/>
          <w:sz w:val="20"/>
        </w:rPr>
        <w:t>million and $66.2</w:t>
      </w:r>
      <w:r>
        <w:rPr>
          <w:rFonts w:ascii="Times New Roman" w:hAnsi="Times New Roman"/>
          <w:color w:val="000000"/>
          <w:sz w:val="20"/>
        </w:rPr>
        <w:t xml:space="preserve"> </w:t>
      </w:r>
      <w:r>
        <w:rPr>
          <w:rFonts w:ascii="Arial" w:hAnsi="Arial"/>
          <w:color w:val="000000"/>
          <w:sz w:val="20"/>
        </w:rPr>
        <w:t>million for the three months ended June 30, 2025 and 2024, respectively.</w:t>
      </w:r>
    </w:p>
    <w:p>
      <w:pPr>
        <w:pStyle w:val="TextBody"/>
        <w:bidi w:val="0"/>
        <w:spacing w:before="180" w:after="283"/>
        <w:jc w:val="left"/>
        <w:rPr>
          <w:rFonts w:ascii="Arial" w:hAnsi="Arial"/>
          <w:color w:val="000000"/>
          <w:sz w:val="20"/>
        </w:rPr>
      </w:pPr>
      <w:r>
        <w:rPr>
          <w:rFonts w:ascii="Arial" w:hAnsi="Arial"/>
          <w:color w:val="000000"/>
          <w:sz w:val="20"/>
        </w:rPr>
        <w:t>Goodwill by segments as of June 30, 2025 and March 31, 2025 was as follows:</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3271"/>
        <w:gridCol w:w="146"/>
        <w:gridCol w:w="218"/>
        <w:gridCol w:w="997"/>
        <w:gridCol w:w="146"/>
        <w:gridCol w:w="146"/>
        <w:gridCol w:w="235"/>
        <w:gridCol w:w="1070"/>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1,622,132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6 — Senior Notes and Other Long-Term Debt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Total long-term debt consisted of the following as of June 30, 2025 and March 31,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8"/>
        <w:gridCol w:w="146"/>
        <w:gridCol w:w="216"/>
        <w:gridCol w:w="988"/>
        <w:gridCol w:w="166"/>
        <w:gridCol w:w="146"/>
        <w:gridCol w:w="229"/>
        <w:gridCol w:w="1043"/>
        <w:gridCol w:w="213"/>
      </w:tblGrid>
      <w:tr>
        <w:trPr/>
        <w:tc>
          <w:tcPr>
            <w:tcW w:w="7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2022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680,750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2023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607,450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Original Inmarsat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2024 Inmarsat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Ex-Im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2025 Notes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442,550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Finance lease obligations</w:t>
            </w:r>
            <w:r>
              <w:rPr>
                <w:rFonts w:ascii="Times New Roman" w:hAnsi="Times New Roman"/>
                <w:color w:val="000000"/>
                <w:sz w:val="20"/>
              </w:rPr>
              <w:t> </w:t>
            </w:r>
            <w:r>
              <w:rPr>
                <w:rFonts w:ascii="Arial" w:hAnsi="Arial"/>
                <w:color w:val="000000"/>
                <w:sz w:val="20"/>
              </w:rPr>
              <w:t>(see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158,473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7,204,275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discount, debt issuance costs and fair value adjustments made in purchase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6,532,615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6,532,284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On May 2, 2025, the 2025 Notes were redeemed in full.</w:t>
      </w:r>
    </w:p>
    <w:p>
      <w:pPr>
        <w:pStyle w:val="TextBody"/>
        <w:bidi w:val="0"/>
        <w:spacing w:before="280" w:after="283"/>
        <w:jc w:val="left"/>
        <w:rPr>
          <w:rFonts w:ascii="Times New Roman" w:hAnsi="Times New Roman"/>
          <w:sz w:val="20"/>
        </w:rPr>
      </w:pPr>
      <w:r>
        <w:rPr>
          <w:rFonts w:ascii="Arial" w:hAnsi="Arial"/>
          <w:b/>
          <w:i/>
          <w:color w:val="000000"/>
          <w:sz w:val="20"/>
        </w:rPr>
        <w:t>2022 Term Loan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March 2022, the Company entered into the $700.0</w:t>
      </w:r>
      <w:r>
        <w:rPr>
          <w:rFonts w:ascii="Times New Roman" w:hAnsi="Times New Roman"/>
          <w:color w:val="000000"/>
          <w:sz w:val="20"/>
        </w:rPr>
        <w:t xml:space="preserve"> </w:t>
      </w:r>
      <w:r>
        <w:rPr>
          <w:rFonts w:ascii="Arial" w:hAnsi="Arial"/>
          <w:color w:val="000000"/>
          <w:sz w:val="20"/>
        </w:rPr>
        <w:t>million 2022 Term Loan Facility, which was fully drawn at closing and matures on</w:t>
      </w:r>
      <w:r>
        <w:rPr>
          <w:rFonts w:ascii="Times New Roman" w:hAnsi="Times New Roman"/>
          <w:color w:val="000000"/>
          <w:sz w:val="20"/>
        </w:rPr>
        <w:t xml:space="preserve"> </w:t>
      </w:r>
      <w:r>
        <w:rPr>
          <w:rFonts w:ascii="Arial" w:hAnsi="Arial"/>
          <w:color w:val="000000"/>
          <w:sz w:val="20"/>
        </w:rPr>
        <w:t>March 4, 2029. At June 30, 2025, the Company had $679.0</w:t>
      </w:r>
      <w:r>
        <w:rPr>
          <w:rFonts w:ascii="Times New Roman" w:hAnsi="Times New Roman"/>
          <w:color w:val="000000"/>
          <w:sz w:val="20"/>
        </w:rPr>
        <w:t xml:space="preserve"> </w:t>
      </w:r>
      <w:r>
        <w:rPr>
          <w:rFonts w:ascii="Arial" w:hAnsi="Arial"/>
          <w:color w:val="000000"/>
          <w:sz w:val="20"/>
        </w:rPr>
        <w:t>million in principal amount of outstanding borrowings under the 2022 Term Loan Facility.</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required to be repaid in quarterly installments of $1.75</w:t>
      </w:r>
      <w:r>
        <w:rPr>
          <w:rFonts w:ascii="Times New Roman" w:hAnsi="Times New Roman"/>
          <w:color w:val="000000"/>
          <w:sz w:val="20"/>
        </w:rPr>
        <w:t xml:space="preserve"> </w:t>
      </w:r>
      <w:r>
        <w:rPr>
          <w:rFonts w:ascii="Arial" w:hAnsi="Arial"/>
          <w:color w:val="000000"/>
          <w:sz w:val="20"/>
        </w:rPr>
        <w:t>million each, which commenced on September 30, 2022, followed by a final installment of $654.5</w:t>
      </w:r>
      <w:r>
        <w:rPr>
          <w:rFonts w:ascii="Times New Roman" w:hAnsi="Times New Roman"/>
          <w:color w:val="000000"/>
          <w:sz w:val="20"/>
        </w:rPr>
        <w:t xml:space="preserve"> </w:t>
      </w:r>
      <w:r>
        <w:rPr>
          <w:rFonts w:ascii="Arial" w:hAnsi="Arial"/>
          <w:color w:val="000000"/>
          <w:sz w:val="20"/>
        </w:rPr>
        <w:t>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June 30, 2025, the effective interest rate on the Company’s outstanding borrowings under the 2022 Term Loan Facility was 9.48%. The 2022 Term Loan Facility is required to be guaranteed by certain significant domestic subsidiaries of the Company (as defined in the 2022 Term Loan Facility) and secured by substantially all of the Company’s and any such subsidiaries’ assets. As of June 30, 2025, none of the Company’s subsidiaries guaranteed the 2022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2022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2022 Term Loan Facility as of June 30, 2025.</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2023 Term Loan Facility</w:t>
      </w:r>
    </w:p>
    <w:p>
      <w:pPr>
        <w:pStyle w:val="TextBody"/>
        <w:bidi w:val="0"/>
        <w:spacing w:before="80" w:after="283"/>
        <w:jc w:val="left"/>
        <w:rPr>
          <w:rFonts w:ascii="Times New Roman" w:hAnsi="Times New Roman"/>
          <w:sz w:val="20"/>
        </w:rPr>
      </w:pPr>
      <w:r>
        <w:rPr>
          <w:rFonts w:ascii="Arial" w:hAnsi="Arial"/>
          <w:color w:val="000000"/>
          <w:sz w:val="20"/>
        </w:rPr>
        <w:t>In connection with the closing of the Inmarsat Acquisition in May 2023, the Company entered into the $616.7</w:t>
      </w:r>
      <w:r>
        <w:rPr>
          <w:rFonts w:ascii="Times New Roman" w:hAnsi="Times New Roman"/>
          <w:color w:val="000000"/>
          <w:sz w:val="20"/>
        </w:rPr>
        <w:t xml:space="preserve"> </w:t>
      </w:r>
      <w:r>
        <w:rPr>
          <w:rFonts w:ascii="Arial" w:hAnsi="Arial"/>
          <w:color w:val="000000"/>
          <w:sz w:val="20"/>
        </w:rPr>
        <w:t>million 2023 Term Loan Facility, which was fully drawn at closing and matures on May 30, 2030. At June 30, 2025, the Company had $605.9</w:t>
      </w:r>
      <w:r>
        <w:rPr>
          <w:rFonts w:ascii="Times New Roman" w:hAnsi="Times New Roman"/>
          <w:color w:val="000000"/>
          <w:sz w:val="20"/>
        </w:rPr>
        <w:t xml:space="preserve"> </w:t>
      </w:r>
      <w:r>
        <w:rPr>
          <w:rFonts w:ascii="Arial" w:hAnsi="Arial"/>
          <w:color w:val="000000"/>
          <w:sz w:val="20"/>
        </w:rPr>
        <w:t>million in principal amount of outstanding borrowings under the 2023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June 30, 2025, the effective interest rate on the Company’s outstanding borrowings under the 2023 Term Loan Facility was 9.91%.</w:t>
      </w:r>
      <w:r>
        <w:rPr>
          <w:rFonts w:ascii="Times New Roman" w:hAnsi="Times New Roman"/>
          <w:color w:val="000000"/>
          <w:sz w:val="20"/>
        </w:rPr>
        <w:t xml:space="preserve"> </w:t>
      </w:r>
      <w:r>
        <w:rPr>
          <w:rFonts w:ascii="Arial" w:hAnsi="Arial"/>
          <w:color w:val="000000"/>
          <w:sz w:val="20"/>
        </w:rPr>
        <w:t>The 2023 Term Loan Facility is required to be guaranteed by certain significant domestic subsidiaries of the Company (as defined in the 2023 Term Loan Facility) and secured by substantially all of the Company’s assets and any such subsidiaries' assets. As of June 30, 2025, none of the Company’s subsidiaries guaranteed the 2023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2023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2023 Term Loan Facility as of June 30, 2025.</w:t>
      </w:r>
    </w:p>
    <w:p>
      <w:pPr>
        <w:pStyle w:val="TextBody"/>
        <w:bidi w:val="0"/>
        <w:spacing w:before="180" w:after="283"/>
        <w:jc w:val="left"/>
        <w:rPr>
          <w:rFonts w:ascii="Times New Roman" w:hAnsi="Times New Roman"/>
          <w:sz w:val="20"/>
        </w:rPr>
      </w:pPr>
      <w:r>
        <w:rPr>
          <w:rFonts w:ascii="Arial" w:hAnsi="Arial"/>
          <w:color w:val="000000"/>
          <w:sz w:val="20"/>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Inmarsat Secured Credit Facilities</w:t>
      </w:r>
    </w:p>
    <w:p>
      <w:pPr>
        <w:pStyle w:val="TextBody"/>
        <w:bidi w:val="0"/>
        <w:spacing w:before="80" w:after="283"/>
        <w:jc w:val="left"/>
        <w:rPr>
          <w:rFonts w:ascii="Times New Roman" w:hAnsi="Times New Roman"/>
          <w:sz w:val="20"/>
        </w:rPr>
      </w:pPr>
      <w:r>
        <w:rPr>
          <w:rFonts w:ascii="Arial" w:hAnsi="Arial"/>
          <w:color w:val="000000"/>
          <w:sz w:val="20"/>
        </w:rPr>
        <w:t>In March 2024, Inmarsat amended its then-existing senior secured credit facilities to (among other matters): (1) establish the $1.3 billion 2024 Inmarsat Term Loan Facility, the proceeds of which, together with cash on hand, were used to repay approximately $1.38 billion of the outstanding borrowings under the Original Inmarsat Term Loan Facility, resulting in $300.0 million in principal amount of borrowings remaining outstanding under the Original Inmarsat Term Loan Facility at the closing of the amendment, and (2) replace the prior $700.0 million revolving credit facility with a new $550.0 million revolving line of credit (including up to $100.0 million of letters of credit) (the Inmarsat Revolving Credit Facility and, together with the 2024 Inmarsat Term Loan Facility and the Original Inmarsat Term Loan Facility, the Inmarsat Secured Credit Facilities).</w:t>
      </w:r>
      <w:r>
        <w:rPr>
          <w:rFonts w:ascii="Times New Roman" w:hAnsi="Times New Roman"/>
          <w:color w:val="000000"/>
          <w:sz w:val="20"/>
        </w:rPr>
        <w:t xml:space="preserve"> </w:t>
      </w:r>
      <w:r>
        <w:rPr>
          <w:rFonts w:ascii="Arial" w:hAnsi="Arial"/>
          <w:color w:val="000000"/>
          <w:sz w:val="20"/>
        </w:rPr>
        <w:t>The maturity date for the Original Inmarsat Term Loan Facility is December 12, 2026, and for the 2024 Inmarsat Term Loan Facility is September 28, 2029. The Inmarsat Revolving Credit Facility matures on the earlier of March 28, 2027</w:t>
      </w:r>
      <w:r>
        <w:rPr>
          <w:rFonts w:ascii="Times New Roman" w:hAnsi="Times New Roman"/>
          <w:color w:val="000000"/>
          <w:sz w:val="20"/>
        </w:rPr>
        <w:t xml:space="preserve"> </w:t>
      </w:r>
      <w:r>
        <w:rPr>
          <w:rFonts w:ascii="Arial" w:hAnsi="Arial"/>
          <w:color w:val="000000"/>
          <w:sz w:val="20"/>
        </w:rPr>
        <w:t>and (if more than $100.0</w:t>
      </w:r>
      <w:r>
        <w:rPr>
          <w:rFonts w:ascii="Times New Roman" w:hAnsi="Times New Roman"/>
          <w:color w:val="000000"/>
          <w:sz w:val="20"/>
        </w:rPr>
        <w:t xml:space="preserve"> </w:t>
      </w:r>
      <w:r>
        <w:rPr>
          <w:rFonts w:ascii="Arial" w:hAnsi="Arial"/>
          <w:color w:val="000000"/>
          <w:sz w:val="20"/>
        </w:rPr>
        <w:t>million of borrowings are outstanding under the Original Inmarsat Term Loan Facility) the date that is 91 days prior to the maturity of the Original Inmarsat Term Loan Facility. As of June 30, 2025, Inmarsat had $1.3</w:t>
      </w:r>
      <w:r>
        <w:rPr>
          <w:rFonts w:ascii="Times New Roman" w:hAnsi="Times New Roman"/>
          <w:color w:val="000000"/>
          <w:sz w:val="20"/>
        </w:rPr>
        <w:t xml:space="preserve"> </w:t>
      </w:r>
      <w:r>
        <w:rPr>
          <w:rFonts w:ascii="Arial" w:hAnsi="Arial"/>
          <w:color w:val="000000"/>
          <w:sz w:val="20"/>
        </w:rPr>
        <w:t>billion in principal amount of outstanding borrowings under the 2024 Inmarsat Term Loan Facility and $300.0</w:t>
      </w:r>
      <w:r>
        <w:rPr>
          <w:rFonts w:ascii="Times New Roman" w:hAnsi="Times New Roman"/>
          <w:color w:val="000000"/>
          <w:sz w:val="20"/>
        </w:rPr>
        <w:t xml:space="preserve"> </w:t>
      </w:r>
      <w:r>
        <w:rPr>
          <w:rFonts w:ascii="Arial" w:hAnsi="Arial"/>
          <w:color w:val="000000"/>
          <w:sz w:val="20"/>
        </w:rPr>
        <w:t>million in principal amount of outstanding borrowings under the Original Inmarsat Term Loan Facility. As of June 30, 2025, the Inmarsat Revolving Credit Facility was undrawn and there were no</w:t>
      </w:r>
      <w:r>
        <w:rPr>
          <w:rFonts w:ascii="Times New Roman" w:hAnsi="Times New Roman"/>
          <w:color w:val="000000"/>
          <w:sz w:val="20"/>
        </w:rPr>
        <w:t xml:space="preserve"> </w:t>
      </w:r>
      <w:r>
        <w:rPr>
          <w:rFonts w:ascii="Arial" w:hAnsi="Arial"/>
          <w:color w:val="000000"/>
          <w:sz w:val="20"/>
        </w:rPr>
        <w:t>amounts outstanding under standby letters of credit, leaving borrowing availability under the Inmarsat Revolving Credit Facility of $550.0</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2024 Inmarsat Term Loan Facility are required to be repaid in quarterly installments of $3.25</w:t>
      </w:r>
      <w:r>
        <w:rPr>
          <w:rFonts w:ascii="Times New Roman" w:hAnsi="Times New Roman"/>
          <w:color w:val="000000"/>
          <w:sz w:val="20"/>
        </w:rPr>
        <w:t xml:space="preserve"> </w:t>
      </w:r>
      <w:r>
        <w:rPr>
          <w:rFonts w:ascii="Arial" w:hAnsi="Arial"/>
          <w:color w:val="000000"/>
          <w:sz w:val="20"/>
        </w:rPr>
        <w:t>million each, which commenced in the quarter ended June 30, 2024, followed by a final installment of $1.23</w:t>
      </w:r>
      <w:r>
        <w:rPr>
          <w:rFonts w:ascii="Times New Roman" w:hAnsi="Times New Roman"/>
          <w:color w:val="000000"/>
          <w:sz w:val="20"/>
        </w:rPr>
        <w:t xml:space="preserve"> </w:t>
      </w:r>
      <w:r>
        <w:rPr>
          <w:rFonts w:ascii="Arial" w:hAnsi="Arial"/>
          <w:color w:val="000000"/>
          <w:sz w:val="20"/>
        </w:rPr>
        <w:t>billion at maturity. As a result of the voluntary prepayments at the closing of the amendment, all quarterly amortization installments with respect to the Original Inmarsat Term Loan Facility have been reduced to zero, with the only remaining scheduled principal repayment being a final installment of $300.0</w:t>
      </w:r>
      <w:r>
        <w:rPr>
          <w:rFonts w:ascii="Times New Roman" w:hAnsi="Times New Roman"/>
          <w:color w:val="000000"/>
          <w:sz w:val="20"/>
        </w:rPr>
        <w:t xml:space="preserve"> </w:t>
      </w:r>
      <w:r>
        <w:rPr>
          <w:rFonts w:ascii="Arial" w:hAnsi="Arial"/>
          <w:color w:val="000000"/>
          <w:sz w:val="20"/>
        </w:rPr>
        <w:t>million at the maturity date on December 12, 2026.</w:t>
      </w:r>
    </w:p>
    <w:p>
      <w:pPr>
        <w:pStyle w:val="TextBody"/>
        <w:bidi w:val="0"/>
        <w:spacing w:before="180" w:after="283"/>
        <w:jc w:val="left"/>
        <w:rPr>
          <w:rFonts w:ascii="Arial" w:hAnsi="Arial"/>
          <w:color w:val="000000"/>
          <w:sz w:val="20"/>
        </w:rPr>
      </w:pPr>
      <w:r>
        <w:rPr>
          <w:rFonts w:ascii="Arial" w:hAnsi="Arial"/>
          <w:color w:val="000000"/>
          <w:sz w:val="20"/>
        </w:rPr>
        <w:t>Borrowings under the Inmarsat Secured Credit Facilities: (1) in the case of borrowings denominated in U.S. Dollars, bear interest, at Inmarsat's option, at either (i) the highest of (x) for the Original Inmarsat Term Loan Facility, the greater of the federal funds rate or the overnight banking fund rate for such day plus 0.50% and for the 2024 Inmarsat Term Loan Facility, the federal funds rate plus 0.50%, (y) the forward-looking one-month term SOFR rate plus 1.00% or (z) the administrative agent's prime rate as announced from time to time, or (ii) the forward-looking term SOFR rate for the applicable interest period (subject to, in the case of the 2024 Inmarsat Term Loan Facility, a floor of 0.50% per annum, in the case of the Inmarsat Revolving Credit Facility, a floor of 0.00% per annum and, in the case of the Original Inmarsat Term Loan Facility, a floor of 1.00%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Original Inmarsat Term Loan Facility is 2.50% per annum for base rate loans and 3.50% per annum for SOFR loans. The applicable margin for the 2024 Inmarsat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June 30, 2025, the effective interest rate on the Company's outstanding borrowings under the Inmarsat Term Loan Facilities was approximately 10.16%. The Inmarsat Secured Credit Facilities are required to be guaranteed by certain material Inmarsat subsidiaries and secured by substantially all of the assets of the Inmarsat borrowers and subsidiary guarantors.</w:t>
      </w:r>
    </w:p>
    <w:p>
      <w:pPr>
        <w:pStyle w:val="TextBody"/>
        <w:bidi w:val="0"/>
        <w:spacing w:before="180" w:after="283"/>
        <w:jc w:val="left"/>
        <w:rPr>
          <w:rFonts w:ascii="Arial" w:hAnsi="Arial"/>
          <w:color w:val="000000"/>
          <w:sz w:val="20"/>
        </w:rPr>
      </w:pPr>
      <w:r>
        <w:rPr>
          <w:rFonts w:ascii="Arial" w:hAnsi="Arial"/>
          <w:color w:val="000000"/>
          <w:sz w:val="20"/>
        </w:rPr>
        <w:t>The Inmarsat Secured Credit Facilities contain covenants that restrict, among other things, Inmarsat’s ability to incur additional debt, grant liens, sell assets, make investments and acquisitions, pay dividends and make certain other restricted payments. In addition, covenants regarding Inmarsat’s total net leverage ratio and interest coverage ratio apply to the Inmarsat Revolving Credit Facility. The borrowers under the Inmarsat Secured Credit Facilities were in compliance with the covenants under the Inmarsat Secured Credit Facilities as of June 30, 2025.</w:t>
      </w:r>
    </w:p>
    <w:p>
      <w:pPr>
        <w:pStyle w:val="TextBody"/>
        <w:bidi w:val="0"/>
        <w:spacing w:before="180" w:after="283"/>
        <w:jc w:val="left"/>
        <w:rPr>
          <w:rFonts w:ascii="Arial" w:hAnsi="Arial"/>
          <w:color w:val="000000"/>
          <w:sz w:val="20"/>
        </w:rPr>
      </w:pPr>
      <w:r>
        <w:rPr>
          <w:rFonts w:ascii="Arial" w:hAnsi="Arial"/>
          <w:color w:val="000000"/>
          <w:sz w:val="20"/>
        </w:rPr>
        <w:t>Borrowings under the Inmarsat Term Loan Facilities are recorded as current portion of long-term debt and as other long-term debt, net of unamortized discount, unamortized fair value adjustment made in purchase accounting and debt issuance costs, in the Company’s condensed consolidated financial statements. The 2024 Inmarsat Term Loan Facility was issued with an original issue discount of 2.00%.</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Ex-Im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Ex-Im Credit Facility originally provided a $362.4</w:t>
      </w:r>
      <w:r>
        <w:rPr>
          <w:rFonts w:ascii="Times New Roman" w:hAnsi="Times New Roman"/>
          <w:color w:val="000000"/>
          <w:sz w:val="20"/>
        </w:rPr>
        <w:t xml:space="preserve"> </w:t>
      </w:r>
      <w:r>
        <w:rPr>
          <w:rFonts w:ascii="Arial" w:hAnsi="Arial"/>
          <w:color w:val="000000"/>
          <w:sz w:val="20"/>
        </w:rPr>
        <w:t>million senior secured direct loan facility, which was fully drawn. Of the $362.4</w:t>
      </w:r>
      <w:r>
        <w:rPr>
          <w:rFonts w:ascii="Times New Roman" w:hAnsi="Times New Roman"/>
          <w:color w:val="000000"/>
          <w:sz w:val="20"/>
        </w:rPr>
        <w:t xml:space="preserve"> </w:t>
      </w:r>
      <w:r>
        <w:rPr>
          <w:rFonts w:ascii="Arial" w:hAnsi="Arial"/>
          <w:color w:val="000000"/>
          <w:sz w:val="20"/>
        </w:rPr>
        <w:t>million in principal amount of borrowings made under the Ex-Im Credit Facility, $321.2</w:t>
      </w:r>
      <w:r>
        <w:rPr>
          <w:rFonts w:ascii="Times New Roman" w:hAnsi="Times New Roman"/>
          <w:color w:val="000000"/>
          <w:sz w:val="20"/>
        </w:rPr>
        <w:t xml:space="preserve"> </w:t>
      </w:r>
      <w:r>
        <w:rPr>
          <w:rFonts w:ascii="Arial" w:hAnsi="Arial"/>
          <w:color w:val="000000"/>
          <w:sz w:val="20"/>
        </w:rPr>
        <w:t>million was used to finance up to 85% of the costs of construction, launch and insurance of the ViaSat-2 satellite and related goods and services (including costs incurred on or after September 18, 2012), with the remaining $41.2</w:t>
      </w:r>
      <w:r>
        <w:rPr>
          <w:rFonts w:ascii="Times New Roman" w:hAnsi="Times New Roman"/>
          <w:color w:val="000000"/>
          <w:sz w:val="20"/>
        </w:rPr>
        <w:t xml:space="preserve"> </w:t>
      </w:r>
      <w:r>
        <w:rPr>
          <w:rFonts w:ascii="Arial" w:hAnsi="Arial"/>
          <w:color w:val="000000"/>
          <w:sz w:val="20"/>
        </w:rPr>
        <w:t>million used to finance the total exposure fees incurred under the Ex-Im Credit Facility (which included all previously accrued completion exposure fees). As of June 30, 2025, the Company had $9.8</w:t>
      </w:r>
      <w:r>
        <w:rPr>
          <w:rFonts w:ascii="Times New Roman" w:hAnsi="Times New Roman"/>
          <w:color w:val="000000"/>
          <w:sz w:val="20"/>
        </w:rPr>
        <w:t xml:space="preserve"> </w:t>
      </w:r>
      <w:r>
        <w:rPr>
          <w:rFonts w:ascii="Arial" w:hAnsi="Arial"/>
          <w:color w:val="000000"/>
          <w:sz w:val="20"/>
        </w:rPr>
        <w:t>million in principal amount of outstanding borrowings under the Ex-Im Credit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w:t>
      </w:r>
      <w:r>
        <w:rPr>
          <w:rFonts w:ascii="Times New Roman" w:hAnsi="Times New Roman"/>
          <w:color w:val="000000"/>
          <w:sz w:val="20"/>
        </w:rPr>
        <w:t xml:space="preserve"> </w:t>
      </w:r>
      <w:r>
        <w:rPr>
          <w:rFonts w:ascii="Arial" w:hAnsi="Arial"/>
          <w:color w:val="000000"/>
          <w:sz w:val="20"/>
        </w:rPr>
        <w:t>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Ex-Im Credit Facility contains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Ex-Im Credit Facility as of June 30, 2025.</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Borrowings under the Ex-Im Credit Facility are recorded as current portion of long-term debt, net of unamortized discount and debt issuance costs, in the Company’s condensed consolidated financial statements. The discount of $42.3</w:t>
      </w:r>
      <w:r>
        <w:rPr>
          <w:rFonts w:ascii="Times New Roman" w:hAnsi="Times New Roman"/>
          <w:color w:val="000000"/>
          <w:sz w:val="20"/>
        </w:rPr>
        <w:t xml:space="preserve"> </w:t>
      </w:r>
      <w:r>
        <w:rPr>
          <w:rFonts w:ascii="Arial" w:hAnsi="Arial"/>
          <w:color w:val="000000"/>
          <w:sz w:val="20"/>
        </w:rPr>
        <w:t>million (consisting of the initial $6.0</w:t>
      </w:r>
      <w:r>
        <w:rPr>
          <w:rFonts w:ascii="Times New Roman" w:hAnsi="Times New Roman"/>
          <w:color w:val="000000"/>
          <w:sz w:val="20"/>
        </w:rPr>
        <w:t xml:space="preserve"> </w:t>
      </w:r>
      <w:r>
        <w:rPr>
          <w:rFonts w:ascii="Arial" w:hAnsi="Arial"/>
          <w:color w:val="000000"/>
          <w:sz w:val="20"/>
        </w:rPr>
        <w:t>million pre-exposure fee, $35.3</w:t>
      </w:r>
      <w:r>
        <w:rPr>
          <w:rFonts w:ascii="Times New Roman" w:hAnsi="Times New Roman"/>
          <w:color w:val="000000"/>
          <w:sz w:val="20"/>
        </w:rPr>
        <w:t xml:space="preserve"> </w:t>
      </w:r>
      <w:r>
        <w:rPr>
          <w:rFonts w:ascii="Arial" w:hAnsi="Arial"/>
          <w:color w:val="000000"/>
          <w:sz w:val="20"/>
        </w:rPr>
        <w:t>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pStyle w:val="TextBody"/>
        <w:bidi w:val="0"/>
        <w:spacing w:before="280" w:after="283"/>
        <w:jc w:val="left"/>
        <w:rPr>
          <w:rFonts w:ascii="Times New Roman" w:hAnsi="Times New Roman"/>
          <w:sz w:val="20"/>
        </w:rPr>
      </w:pPr>
      <w:r>
        <w:rPr>
          <w:rFonts w:ascii="Arial" w:hAnsi="Arial"/>
          <w:b/>
          <w:i/>
          <w:color w:val="000000"/>
          <w:sz w:val="20"/>
        </w:rPr>
        <w:t>Viasat Revolving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As of June 30, 2025, Viasat's revolving credit facility (the Viasat Revolving Credit Facility) provided a $647.5</w:t>
      </w:r>
      <w:r>
        <w:rPr>
          <w:rFonts w:ascii="Times New Roman" w:hAnsi="Times New Roman"/>
          <w:color w:val="000000"/>
          <w:sz w:val="20"/>
        </w:rPr>
        <w:t xml:space="preserve"> </w:t>
      </w:r>
      <w:r>
        <w:rPr>
          <w:rFonts w:ascii="Arial" w:hAnsi="Arial"/>
          <w:color w:val="000000"/>
          <w:sz w:val="20"/>
        </w:rPr>
        <w:t>million revolving line of credit (including up to $150.0</w:t>
      </w:r>
      <w:r>
        <w:rPr>
          <w:rFonts w:ascii="Times New Roman" w:hAnsi="Times New Roman"/>
          <w:color w:val="000000"/>
          <w:sz w:val="20"/>
        </w:rPr>
        <w:t xml:space="preserve"> </w:t>
      </w:r>
      <w:r>
        <w:rPr>
          <w:rFonts w:ascii="Arial" w:hAnsi="Arial"/>
          <w:color w:val="000000"/>
          <w:sz w:val="20"/>
        </w:rPr>
        <w:t>million of letters of credit), with a maturity date of the earliest of (A) August 24, 2028</w:t>
      </w:r>
      <w:r>
        <w:rPr>
          <w:rFonts w:ascii="Times New Roman" w:hAnsi="Times New Roman"/>
          <w:color w:val="000000"/>
          <w:sz w:val="20"/>
        </w:rPr>
        <w:t xml:space="preserve"> </w:t>
      </w:r>
      <w:r>
        <w:rPr>
          <w:rFonts w:ascii="Arial" w:hAnsi="Arial"/>
          <w:color w:val="000000"/>
          <w:sz w:val="20"/>
        </w:rPr>
        <w:t>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At June 30, 2025, the Viasat Revolving Credit Facility was undrawn and there was $51.9</w:t>
      </w:r>
      <w:r>
        <w:rPr>
          <w:rFonts w:ascii="Times New Roman" w:hAnsi="Times New Roman"/>
          <w:color w:val="000000"/>
          <w:sz w:val="20"/>
        </w:rPr>
        <w:t xml:space="preserve"> </w:t>
      </w:r>
      <w:r>
        <w:rPr>
          <w:rFonts w:ascii="Arial" w:hAnsi="Arial"/>
          <w:color w:val="000000"/>
          <w:sz w:val="20"/>
        </w:rPr>
        <w:t>million outstanding under standby letters of credit, leaving borrowing availability under the Viasat Revolving Credit Facility of $595.6</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w:t>
      </w:r>
      <w:r>
        <w:rPr>
          <w:rFonts w:ascii="Times New Roman" w:hAnsi="Times New Roman"/>
          <w:color w:val="000000"/>
          <w:sz w:val="20"/>
        </w:rPr>
        <w:t xml:space="preserve"> </w:t>
      </w:r>
      <w:r>
        <w:rPr>
          <w:rFonts w:ascii="Arial" w:hAnsi="Arial"/>
          <w:color w:val="000000"/>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June 30, 2025, none of the Company’s subsidiaries guaranteed the Viasat Revolving Credit Facility.</w:t>
      </w:r>
    </w:p>
    <w:p>
      <w:pPr>
        <w:pStyle w:val="TextBody"/>
        <w:bidi w:val="0"/>
        <w:spacing w:before="180" w:after="283"/>
        <w:jc w:val="left"/>
        <w:rPr>
          <w:rFonts w:ascii="Arial" w:hAnsi="Arial"/>
          <w:color w:val="000000"/>
          <w:sz w:val="20"/>
        </w:rPr>
      </w:pPr>
      <w:r>
        <w:rPr>
          <w:rFonts w:ascii="Arial" w:hAnsi="Arial"/>
          <w:color w:val="000000"/>
          <w:sz w:val="20"/>
        </w:rPr>
        <w:t>The Viasat Revolving Credit Facility contains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covenants under the Viasat Revolving Credit Facility as of June 30, 2025.</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Senior Notes</w:t>
      </w:r>
      <w:r>
        <w:rPr>
          <w:rFonts w:ascii="Times New Roman" w:hAnsi="Times New Roman"/>
          <w:color w:val="000000"/>
          <w:sz w:val="20"/>
        </w:rPr>
        <w:t xml:space="preserve"> </w:t>
      </w:r>
    </w:p>
    <w:p>
      <w:pPr>
        <w:pStyle w:val="TextBody"/>
        <w:bidi w:val="0"/>
        <w:spacing w:before="90" w:after="283"/>
        <w:jc w:val="left"/>
        <w:rPr>
          <w:rFonts w:ascii="Arial" w:hAnsi="Arial"/>
          <w:i/>
          <w:color w:val="000000"/>
          <w:sz w:val="20"/>
        </w:rPr>
      </w:pPr>
      <w:r>
        <w:rPr>
          <w:rFonts w:ascii="Arial" w:hAnsi="Arial"/>
          <w:i/>
          <w:color w:val="000000"/>
          <w:sz w:val="20"/>
        </w:rPr>
        <w:t>Senior Notes due 2025; Discharge of Indenture and Gain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September 2017, the Company issued $700.0</w:t>
      </w:r>
      <w:r>
        <w:rPr>
          <w:rFonts w:ascii="Times New Roman" w:hAnsi="Times New Roman"/>
          <w:color w:val="000000"/>
          <w:sz w:val="20"/>
        </w:rPr>
        <w:t xml:space="preserve"> </w:t>
      </w:r>
      <w:r>
        <w:rPr>
          <w:rFonts w:ascii="Arial" w:hAnsi="Arial"/>
          <w:color w:val="000000"/>
          <w:sz w:val="20"/>
        </w:rPr>
        <w:t>million in principal amount of 2025</w:t>
      </w:r>
      <w:r>
        <w:rPr>
          <w:rFonts w:ascii="Times New Roman" w:hAnsi="Times New Roman"/>
          <w:color w:val="000000"/>
          <w:sz w:val="20"/>
        </w:rPr>
        <w:t xml:space="preserve"> </w:t>
      </w:r>
      <w:r>
        <w:rPr>
          <w:rFonts w:ascii="Arial" w:hAnsi="Arial"/>
          <w:color w:val="000000"/>
          <w:sz w:val="20"/>
        </w:rPr>
        <w:t>Notes in a private placement to institutional buyers. During the second quarter of fiscal year 2025, the Company repurchased $257.5</w:t>
      </w:r>
      <w:r>
        <w:rPr>
          <w:rFonts w:ascii="Times New Roman" w:hAnsi="Times New Roman"/>
          <w:color w:val="000000"/>
          <w:sz w:val="20"/>
        </w:rPr>
        <w:t xml:space="preserve"> </w:t>
      </w:r>
      <w:r>
        <w:rPr>
          <w:rFonts w:ascii="Arial" w:hAnsi="Arial"/>
          <w:color w:val="000000"/>
          <w:sz w:val="20"/>
        </w:rPr>
        <w:t>million in aggregate principal amount of 2025 Notes in open market transactions. On May 2, 2025, the Company redeemed all of the remaining $442.6</w:t>
      </w:r>
      <w:r>
        <w:rPr>
          <w:rFonts w:ascii="Times New Roman" w:hAnsi="Times New Roman"/>
          <w:color w:val="000000"/>
          <w:sz w:val="20"/>
        </w:rPr>
        <w:t xml:space="preserve"> </w:t>
      </w:r>
      <w:r>
        <w:rPr>
          <w:rFonts w:ascii="Arial" w:hAnsi="Arial"/>
          <w:color w:val="000000"/>
          <w:sz w:val="20"/>
        </w:rPr>
        <w:t>million in principal amount of 2025 Notes at a redemption price of 100% of the principal amount so redeemed plus accrued and unpaid interest thereon to the redemption date, and the indenture governing the 2025 Notes was satisfied and discharged in accordance with its terms. As a result of the redemption of the 2025 Notes, during the three months ended June 30, 2025, the Company recorded a loss of an insignificant amount in loss (gain) on extinguishment of debt in the condensed consolidated statement of operations and comprehensive income (loss). The 2025 Notes bore interest at the rate of 5.625% per year, payable semi-annually in cash in arrears, and were recorded as current portion of long-term debt, net of debt issuance costs, as of March 31, 2025 in the Company’s condensed consolidated financial statements.</w:t>
      </w:r>
    </w:p>
    <w:p>
      <w:pPr>
        <w:pStyle w:val="TextBody"/>
        <w:bidi w:val="0"/>
        <w:spacing w:before="270" w:after="283"/>
        <w:jc w:val="left"/>
        <w:rPr>
          <w:rFonts w:ascii="Arial" w:hAnsi="Arial"/>
          <w:i/>
          <w:color w:val="000000"/>
          <w:sz w:val="20"/>
        </w:rPr>
      </w:pPr>
      <w:r>
        <w:rPr>
          <w:rFonts w:ascii="Arial" w:hAnsi="Arial"/>
          <w:i/>
          <w:color w:val="000000"/>
          <w:sz w:val="20"/>
        </w:rPr>
        <w:t>Senior Secured Notes due 2027</w:t>
      </w:r>
    </w:p>
    <w:p>
      <w:pPr>
        <w:pStyle w:val="TextBody"/>
        <w:bidi w:val="0"/>
        <w:spacing w:before="90" w:after="283"/>
        <w:jc w:val="left"/>
        <w:rPr>
          <w:rFonts w:ascii="Times New Roman" w:hAnsi="Times New Roman"/>
          <w:sz w:val="20"/>
        </w:rPr>
      </w:pPr>
      <w:r>
        <w:rPr>
          <w:rFonts w:ascii="Arial" w:hAnsi="Arial"/>
          <w:color w:val="000000"/>
          <w:sz w:val="20"/>
        </w:rPr>
        <w:t>In March 2019, the Company issued $600.0</w:t>
      </w:r>
      <w:r>
        <w:rPr>
          <w:rFonts w:ascii="Times New Roman" w:hAnsi="Times New Roman"/>
          <w:color w:val="000000"/>
          <w:sz w:val="20"/>
        </w:rPr>
        <w:t xml:space="preserve"> </w:t>
      </w:r>
      <w:r>
        <w:rPr>
          <w:rFonts w:ascii="Arial" w:hAnsi="Arial"/>
          <w:color w:val="000000"/>
          <w:sz w:val="20"/>
        </w:rPr>
        <w:t>million in principal amount of 2027</w:t>
      </w:r>
      <w:r>
        <w:rPr>
          <w:rFonts w:ascii="Times New Roman" w:hAnsi="Times New Roman"/>
          <w:color w:val="000000"/>
          <w:sz w:val="20"/>
        </w:rPr>
        <w:t xml:space="preserve"> </w:t>
      </w:r>
      <w:r>
        <w:rPr>
          <w:rFonts w:ascii="Arial" w:hAnsi="Arial"/>
          <w:color w:val="000000"/>
          <w:sz w:val="20"/>
        </w:rPr>
        <w:t>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are required to be guaranteed on a senior secured basis by each of the Company’s existing and future subsidiaries that guarantees the Viasat Revolving Credit Facility. As of June 30, 2025,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283"/>
        <w:jc w:val="left"/>
        <w:rPr>
          <w:rFonts w:ascii="Times New Roman" w:hAnsi="Times New Roman"/>
          <w:sz w:val="20"/>
        </w:rPr>
      </w:pPr>
      <w:r>
        <w:rPr>
          <w:rFonts w:ascii="Arial" w:hAnsi="Arial"/>
          <w:color w:val="000000"/>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may be redeemed, in whole or in part, at any time at a redemption price of 100% plus accrued and unpaid interest, if any, thereon to the redemption date.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70" w:after="283"/>
        <w:jc w:val="left"/>
        <w:rPr>
          <w:rFonts w:ascii="Arial" w:hAnsi="Arial"/>
          <w:i/>
          <w:color w:val="000000"/>
          <w:sz w:val="20"/>
        </w:rPr>
      </w:pPr>
      <w:r>
        <w:rPr>
          <w:rFonts w:ascii="Arial" w:hAnsi="Arial"/>
          <w:i/>
          <w:color w:val="000000"/>
          <w:sz w:val="20"/>
        </w:rPr>
        <w:t>Senior Notes due 2028</w:t>
      </w:r>
    </w:p>
    <w:p>
      <w:pPr>
        <w:pStyle w:val="TextBody"/>
        <w:bidi w:val="0"/>
        <w:spacing w:before="90" w:after="283"/>
        <w:jc w:val="left"/>
        <w:rPr>
          <w:rFonts w:ascii="Times New Roman" w:hAnsi="Times New Roman"/>
          <w:sz w:val="20"/>
        </w:rPr>
      </w:pPr>
      <w:r>
        <w:rPr>
          <w:rFonts w:ascii="Arial" w:hAnsi="Arial"/>
          <w:color w:val="000000"/>
          <w:sz w:val="20"/>
        </w:rPr>
        <w:t>In June 2020, the Company issued $400.0</w:t>
      </w:r>
      <w:r>
        <w:rPr>
          <w:rFonts w:ascii="Times New Roman" w:hAnsi="Times New Roman"/>
          <w:color w:val="000000"/>
          <w:sz w:val="20"/>
        </w:rPr>
        <w:t xml:space="preserve"> </w:t>
      </w:r>
      <w:r>
        <w:rPr>
          <w:rFonts w:ascii="Arial" w:hAnsi="Arial"/>
          <w:color w:val="000000"/>
          <w:sz w:val="20"/>
        </w:rPr>
        <w:t>million in principal amount of 2028</w:t>
      </w:r>
      <w:r>
        <w:rPr>
          <w:rFonts w:ascii="Times New Roman" w:hAnsi="Times New Roman"/>
          <w:color w:val="000000"/>
          <w:sz w:val="20"/>
        </w:rPr>
        <w:t xml:space="preserve"> </w:t>
      </w:r>
      <w:r>
        <w:rPr>
          <w:rFonts w:ascii="Arial" w:hAnsi="Arial"/>
          <w:color w:val="000000"/>
          <w:sz w:val="20"/>
        </w:rPr>
        <w:t>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2028 Notes are required to be guaranteed on an unsecured senior basis by each of the Company’s existing and future subsidiaries that guarantees the Viasat Revolving Credit Facility. As of June 30, 2025,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2028 Notes may be redeemed, in whole or in part, at any time at a redemption price of 100%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70" w:after="283"/>
        <w:jc w:val="left"/>
        <w:rPr>
          <w:rFonts w:ascii="Arial" w:hAnsi="Arial"/>
          <w:i/>
          <w:color w:val="000000"/>
          <w:sz w:val="20"/>
        </w:rPr>
      </w:pPr>
      <w:r>
        <w:rPr>
          <w:rFonts w:ascii="Arial" w:hAnsi="Arial"/>
          <w:i/>
          <w:color w:val="000000"/>
          <w:sz w:val="20"/>
        </w:rPr>
        <w:t>Inmarsat Senior Secured Notes due 2029</w:t>
      </w:r>
    </w:p>
    <w:p>
      <w:pPr>
        <w:pStyle w:val="TextBody"/>
        <w:bidi w:val="0"/>
        <w:spacing w:before="80" w:after="283"/>
        <w:jc w:val="left"/>
        <w:rPr>
          <w:rFonts w:ascii="Times New Roman" w:hAnsi="Times New Roman"/>
          <w:sz w:val="20"/>
        </w:rPr>
      </w:pPr>
      <w:r>
        <w:rPr>
          <w:rFonts w:ascii="Arial" w:hAnsi="Arial"/>
          <w:color w:val="000000"/>
          <w:sz w:val="20"/>
        </w:rPr>
        <w:t>In September 2024, certain subsidiaries of Inmarsat Holdings issued $1.975</w:t>
      </w:r>
      <w:r>
        <w:rPr>
          <w:rFonts w:ascii="Times New Roman" w:hAnsi="Times New Roman"/>
          <w:color w:val="000000"/>
          <w:sz w:val="20"/>
        </w:rPr>
        <w:t xml:space="preserve"> </w:t>
      </w:r>
      <w:r>
        <w:rPr>
          <w:rFonts w:ascii="Arial" w:hAnsi="Arial"/>
          <w:color w:val="000000"/>
          <w:sz w:val="20"/>
        </w:rPr>
        <w:t>billion in principal amount of Inmarsat 2029</w:t>
      </w:r>
      <w:r>
        <w:rPr>
          <w:rFonts w:ascii="Times New Roman" w:hAnsi="Times New Roman"/>
          <w:color w:val="000000"/>
          <w:sz w:val="20"/>
        </w:rPr>
        <w:t xml:space="preserve"> </w:t>
      </w:r>
      <w:r>
        <w:rPr>
          <w:rFonts w:ascii="Arial" w:hAnsi="Arial"/>
          <w:color w:val="000000"/>
          <w:sz w:val="20"/>
        </w:rPr>
        <w:t>Notes in a private placement to institutional buyers. The Inmarsat 2029 Notes were issued at face value and are recorded as long-term debt, net of debt issuance costs, in the Company’s condensed consolidated financial statements. The Inmarsat 2029 Notes bear interest at the rate of 9.000% per year, payable semi-annually in cash in arrears, which interest payments commenced in March 2025. Debt issuance costs associated with the issuance of the Inmarsat 2029 Notes are amortized to interest expense on a straight-line basis over the term of the Inmarsat 2029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pStyle w:val="TextBody"/>
        <w:bidi w:val="0"/>
        <w:spacing w:before="180" w:after="283"/>
        <w:jc w:val="left"/>
        <w:rPr>
          <w:rFonts w:ascii="Arial" w:hAnsi="Arial"/>
          <w:color w:val="000000"/>
          <w:sz w:val="20"/>
        </w:rPr>
      </w:pPr>
      <w:r>
        <w:rPr>
          <w:rFonts w:ascii="Arial" w:hAnsi="Arial"/>
          <w:color w:val="000000"/>
          <w:sz w:val="20"/>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w:t>
      </w:r>
      <w:r>
        <w:rPr>
          <w:rFonts w:ascii="Times New Roman" w:hAnsi="Times New Roman"/>
          <w:color w:val="000000"/>
          <w:sz w:val="20"/>
        </w:rPr>
        <w:t xml:space="preserve"> </w:t>
      </w:r>
      <w:r>
        <w:rPr>
          <w:rFonts w:ascii="Arial" w:hAnsi="Arial"/>
          <w:color w:val="000000"/>
          <w:sz w:val="20"/>
        </w:rPr>
        <w:t>The issuers may also redeem the Inmarsat 2029 Notes prior to September 15, 2026, in whole or in part, at a redemption price equal to 100% of the principal amount thereof plus a “make-whole”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68" w:after="283"/>
        <w:jc w:val="left"/>
        <w:rPr>
          <w:rFonts w:ascii="Arial" w:hAnsi="Arial"/>
          <w:i/>
          <w:color w:val="000000"/>
          <w:sz w:val="20"/>
        </w:rPr>
      </w:pPr>
      <w:r>
        <w:rPr>
          <w:rFonts w:ascii="Arial" w:hAnsi="Arial"/>
          <w:i/>
          <w:color w:val="000000"/>
          <w:sz w:val="20"/>
        </w:rPr>
        <w:t>Senior Notes due 2031</w:t>
      </w:r>
    </w:p>
    <w:p>
      <w:pPr>
        <w:pStyle w:val="TextBody"/>
        <w:bidi w:val="0"/>
        <w:spacing w:before="80" w:after="283"/>
        <w:jc w:val="left"/>
        <w:rPr>
          <w:rFonts w:ascii="Times New Roman" w:hAnsi="Times New Roman"/>
          <w:sz w:val="20"/>
        </w:rPr>
      </w:pPr>
      <w:r>
        <w:rPr>
          <w:rFonts w:ascii="Arial" w:hAnsi="Arial"/>
          <w:color w:val="000000"/>
          <w:sz w:val="20"/>
        </w:rPr>
        <w:t>In September 2023, the Company issued $733.4</w:t>
      </w:r>
      <w:r>
        <w:rPr>
          <w:rFonts w:ascii="Times New Roman" w:hAnsi="Times New Roman"/>
          <w:color w:val="000000"/>
          <w:sz w:val="20"/>
        </w:rPr>
        <w:t xml:space="preserve"> </w:t>
      </w:r>
      <w:r>
        <w:rPr>
          <w:rFonts w:ascii="Arial" w:hAnsi="Arial"/>
          <w:color w:val="000000"/>
          <w:sz w:val="20"/>
        </w:rPr>
        <w:t>million in principal amount of 2031</w:t>
      </w:r>
      <w:r>
        <w:rPr>
          <w:rFonts w:ascii="Times New Roman" w:hAnsi="Times New Roman"/>
          <w:color w:val="000000"/>
          <w:sz w:val="20"/>
        </w:rPr>
        <w:t xml:space="preserve"> </w:t>
      </w:r>
      <w:r>
        <w:rPr>
          <w:rFonts w:ascii="Arial" w:hAnsi="Arial"/>
          <w:color w:val="000000"/>
          <w:sz w:val="20"/>
        </w:rPr>
        <w:t>Notes in a private placement to institutional buyers to replace the $733.4</w:t>
      </w:r>
      <w:r>
        <w:rPr>
          <w:rFonts w:ascii="Times New Roman" w:hAnsi="Times New Roman"/>
          <w:color w:val="000000"/>
          <w:sz w:val="20"/>
        </w:rPr>
        <w:t xml:space="preserve"> </w:t>
      </w:r>
      <w:r>
        <w:rPr>
          <w:rFonts w:ascii="Arial" w:hAnsi="Arial"/>
          <w:color w:val="000000"/>
          <w:sz w:val="20"/>
        </w:rPr>
        <w:t>million unsecured bridge loan facility that was entered into in connection with the closing of the Inmarsat Acquisition in May 2023. The 2031 Notes were issued at face value and are recorded as long-term debt, net of debt issuance costs, in the Company’s condensed</w:t>
      </w:r>
      <w:r>
        <w:rPr>
          <w:rFonts w:ascii="Times New Roman" w:hAnsi="Times New Roman"/>
          <w:color w:val="000000"/>
          <w:sz w:val="20"/>
        </w:rPr>
        <w:t xml:space="preserve"> </w:t>
      </w:r>
      <w:r>
        <w:rPr>
          <w:rFonts w:ascii="Arial" w:hAnsi="Arial"/>
          <w:color w:val="000000"/>
          <w:sz w:val="20"/>
        </w:rPr>
        <w:t>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2031 Notes are required to be guaranteed on an unsecured senior basis by each of the Company’s existing and future subsidiaries that guarantees the Viasat Revolving Credit Facility. As of June 30, 2025,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Prior to May 30, 2026, the Company may redeem up to 40% of the 2031 Notes at a redemption price of 107.500% of the principal amount thereof, plus accrued and unpaid interest, if any, thereon to the redemption date, from the net cash proceeds of specified equity offerings.</w:t>
      </w:r>
      <w:r>
        <w:rPr>
          <w:rFonts w:ascii="Times New Roman" w:hAnsi="Times New Roman"/>
          <w:color w:val="000000"/>
          <w:sz w:val="20"/>
        </w:rPr>
        <w:t xml:space="preserve"> </w:t>
      </w:r>
      <w:r>
        <w:rPr>
          <w:rFonts w:ascii="Arial" w:hAnsi="Arial"/>
          <w:color w:val="000000"/>
          <w:sz w:val="20"/>
        </w:rPr>
        <w:t>The Company may also redeem the 2031 Notes prior to May 30, 2026, in whole or in part, at a redemption price equal to 100% of the principal amount thereof plus a “make 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283"/>
        <w:jc w:val="left"/>
        <w:rPr>
          <w:rFonts w:ascii="Times New Roman" w:hAnsi="Times New Roman"/>
          <w:sz w:val="20"/>
        </w:rPr>
      </w:pPr>
      <w:r>
        <w:rPr>
          <w:rFonts w:ascii="Arial" w:hAnsi="Arial"/>
          <w:b/>
          <w:color w:val="000000"/>
          <w:sz w:val="20"/>
        </w:rPr>
        <w:t>Note 7 — Related-Party Transactions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In the normal course of business, the Company engages in transactions with its equity method investments (Navarino UK and JSAT Mobile), which are considered related-party transactions. The Company recognized revenue from Navarino UK and JSAT Mobile for the three months ended June 30, 2025 and 2024</w:t>
      </w:r>
      <w:r>
        <w:rPr>
          <w:rFonts w:ascii="Times New Roman" w:hAnsi="Times New Roman"/>
          <w:color w:val="000000"/>
          <w:sz w:val="20"/>
        </w:rPr>
        <w:t xml:space="preserve"> </w:t>
      </w:r>
      <w:r>
        <w:rPr>
          <w:rFonts w:ascii="Arial" w:hAnsi="Arial"/>
          <w:color w:val="000000"/>
          <w:sz w:val="20"/>
        </w:rPr>
        <w:t>of $16.9</w:t>
      </w:r>
      <w:r>
        <w:rPr>
          <w:rFonts w:ascii="Times New Roman" w:hAnsi="Times New Roman"/>
          <w:color w:val="000000"/>
          <w:sz w:val="20"/>
        </w:rPr>
        <w:t xml:space="preserve"> </w:t>
      </w:r>
      <w:r>
        <w:rPr>
          <w:rFonts w:ascii="Arial" w:hAnsi="Arial"/>
          <w:color w:val="000000"/>
          <w:sz w:val="20"/>
        </w:rPr>
        <w:t>million and $16.8</w:t>
      </w:r>
      <w:r>
        <w:rPr>
          <w:rFonts w:ascii="Times New Roman" w:hAnsi="Times New Roman"/>
          <w:color w:val="000000"/>
          <w:sz w:val="20"/>
        </w:rPr>
        <w:t xml:space="preserve"> </w:t>
      </w:r>
      <w:r>
        <w:rPr>
          <w:rFonts w:ascii="Arial" w:hAnsi="Arial"/>
          <w:color w:val="000000"/>
          <w:sz w:val="20"/>
        </w:rPr>
        <w:t>million, respectively. The Company received cash of $15.3</w:t>
      </w:r>
      <w:r>
        <w:rPr>
          <w:rFonts w:ascii="Times New Roman" w:hAnsi="Times New Roman"/>
          <w:color w:val="000000"/>
          <w:sz w:val="20"/>
        </w:rPr>
        <w:t xml:space="preserve"> </w:t>
      </w:r>
      <w:r>
        <w:rPr>
          <w:rFonts w:ascii="Arial" w:hAnsi="Arial"/>
          <w:color w:val="000000"/>
          <w:sz w:val="20"/>
        </w:rPr>
        <w:t>million and $19.3</w:t>
      </w:r>
      <w:r>
        <w:rPr>
          <w:rFonts w:ascii="Times New Roman" w:hAnsi="Times New Roman"/>
          <w:color w:val="000000"/>
          <w:sz w:val="20"/>
        </w:rPr>
        <w:t xml:space="preserve"> </w:t>
      </w:r>
      <w:r>
        <w:rPr>
          <w:rFonts w:ascii="Arial" w:hAnsi="Arial"/>
          <w:color w:val="000000"/>
          <w:sz w:val="20"/>
        </w:rPr>
        <w:t>million from Navarino UK and JSAT Mobile for the three months ended June 30, 2025 and 2024, respectively. Accounts receivable from Navarino UK and JSAT Mobile as of June 30, 2025 and March 31, 2025</w:t>
      </w:r>
      <w:r>
        <w:rPr>
          <w:rFonts w:ascii="Times New Roman" w:hAnsi="Times New Roman"/>
          <w:color w:val="000000"/>
          <w:sz w:val="20"/>
        </w:rPr>
        <w:t xml:space="preserve"> </w:t>
      </w:r>
      <w:r>
        <w:rPr>
          <w:rFonts w:ascii="Arial" w:hAnsi="Arial"/>
          <w:color w:val="000000"/>
          <w:sz w:val="20"/>
        </w:rPr>
        <w:t>was $10.1</w:t>
      </w:r>
      <w:r>
        <w:rPr>
          <w:rFonts w:ascii="Times New Roman" w:hAnsi="Times New Roman"/>
          <w:color w:val="000000"/>
          <w:sz w:val="20"/>
        </w:rPr>
        <w:t xml:space="preserve"> </w:t>
      </w:r>
      <w:r>
        <w:rPr>
          <w:rFonts w:ascii="Arial" w:hAnsi="Arial"/>
          <w:color w:val="000000"/>
          <w:sz w:val="20"/>
        </w:rPr>
        <w:t>million and $8.5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left"/>
        <w:rPr>
          <w:rFonts w:ascii="Times New Roman" w:hAnsi="Times New Roman"/>
          <w:sz w:val="20"/>
        </w:rPr>
      </w:pPr>
      <w:r>
        <w:rPr>
          <w:rFonts w:ascii="Arial" w:hAnsi="Arial"/>
          <w:b/>
          <w:color w:val="000000"/>
          <w:sz w:val="20"/>
        </w:rPr>
        <w:t>Note 8 — Commitments and Contingencies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From time to time, the Company enters into satellite construction agreements as well as various other satellite-related purchase commitments, including with respect to the provision of launch services, operation of its satellites and satellite insurance. See Note 14 — Commitments to the consolidated financial statements included in the Company’s Annual Report on Form 10-K for the year ended March 31, 2025 for information regarding the Company’s future minimum payments under its satellite construction contracts and other satellite-related purchase commitments.</w:t>
      </w:r>
    </w:p>
    <w:p>
      <w:pPr>
        <w:pStyle w:val="TextBody"/>
        <w:bidi w:val="0"/>
        <w:spacing w:before="180" w:after="283"/>
        <w:jc w:val="left"/>
        <w:rPr>
          <w:rFonts w:ascii="Arial" w:hAnsi="Arial"/>
          <w:color w:val="000000"/>
          <w:sz w:val="20"/>
        </w:rPr>
      </w:pPr>
      <w:r>
        <w:rPr>
          <w:rFonts w:ascii="Arial" w:hAnsi="Arial"/>
          <w:color w:val="000000"/>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pStyle w:val="TextBody"/>
        <w:bidi w:val="0"/>
        <w:spacing w:before="180" w:after="283"/>
        <w:jc w:val="left"/>
        <w:rPr>
          <w:rFonts w:ascii="Times New Roman" w:hAnsi="Times New Roman"/>
          <w:sz w:val="20"/>
        </w:rPr>
      </w:pPr>
      <w:r>
        <w:rPr>
          <w:rFonts w:ascii="Arial" w:hAnsi="Arial"/>
          <w:color w:val="000000"/>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June 30, 2025, the DCMA had approved the Company’s incurred costs through fiscal year 2022. The DCAA is currently auditing the Company's fiscal year 2024 recurring incurred cost submission.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2025 and March 31, 2025,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the Company anticipates receiving $568</w:t>
      </w:r>
      <w:r>
        <w:rPr>
          <w:rFonts w:ascii="Times New Roman" w:hAnsi="Times New Roman"/>
          <w:color w:val="000000"/>
          <w:sz w:val="20"/>
        </w:rPr>
        <w:t xml:space="preserve"> </w:t>
      </w:r>
      <w:r>
        <w:rPr>
          <w:rFonts w:ascii="Arial" w:hAnsi="Arial"/>
          <w:color w:val="000000"/>
          <w:sz w:val="20"/>
        </w:rPr>
        <w:t>million from Ligado in fiscal year 2026, consisting of (i) a $420</w:t>
      </w:r>
      <w:r>
        <w:rPr>
          <w:rFonts w:ascii="Times New Roman" w:hAnsi="Times New Roman"/>
          <w:color w:val="000000"/>
          <w:sz w:val="20"/>
        </w:rPr>
        <w:t xml:space="preserve"> </w:t>
      </w:r>
      <w:r>
        <w:rPr>
          <w:rFonts w:ascii="Arial" w:hAnsi="Arial"/>
          <w:color w:val="000000"/>
          <w:sz w:val="20"/>
        </w:rPr>
        <w:t>million lump sum payment on October 31, 2025, (ii) a $100</w:t>
      </w:r>
      <w:r>
        <w:rPr>
          <w:rFonts w:ascii="Times New Roman" w:hAnsi="Times New Roman"/>
          <w:color w:val="000000"/>
          <w:sz w:val="20"/>
        </w:rPr>
        <w:t xml:space="preserve"> </w:t>
      </w:r>
      <w:r>
        <w:rPr>
          <w:rFonts w:ascii="Arial" w:hAnsi="Arial"/>
          <w:color w:val="000000"/>
          <w:sz w:val="20"/>
        </w:rPr>
        <w:t>million lump sum payment on March 31, 2026 and (iii) a resumption of quarterly payments of approximately $16</w:t>
      </w:r>
      <w:r>
        <w:rPr>
          <w:rFonts w:ascii="Times New Roman" w:hAnsi="Times New Roman"/>
          <w:color w:val="000000"/>
          <w:sz w:val="20"/>
        </w:rPr>
        <w:t xml:space="preserve"> </w:t>
      </w:r>
      <w:r>
        <w:rPr>
          <w:rFonts w:ascii="Arial" w:hAnsi="Arial"/>
          <w:color w:val="000000"/>
          <w:sz w:val="20"/>
        </w:rPr>
        <w:t>million starting on September 30, 2025 with an annual escalator of 3% for the life of the contract (through 2107). The conditions of the term sheet are subject to bankruptcy court approval.</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September 2023, the Company settled certain pending litigation. Under the terms of the settlement and licensing agreement, the Company receives certain payments, which may vary based on sales of licensed products. During the three months ended June 30, 2025 and 2024, the Company received payments of approximately $30.8</w:t>
      </w:r>
      <w:r>
        <w:rPr>
          <w:rFonts w:ascii="Times New Roman" w:hAnsi="Times New Roman"/>
          <w:color w:val="000000"/>
          <w:sz w:val="20"/>
        </w:rPr>
        <w:t xml:space="preserve"> </w:t>
      </w:r>
      <w:r>
        <w:rPr>
          <w:rFonts w:ascii="Arial" w:hAnsi="Arial"/>
          <w:color w:val="000000"/>
          <w:sz w:val="20"/>
        </w:rPr>
        <w:t>million and $41.7</w:t>
      </w:r>
      <w:r>
        <w:rPr>
          <w:rFonts w:ascii="Times New Roman" w:hAnsi="Times New Roman"/>
          <w:color w:val="000000"/>
          <w:sz w:val="20"/>
        </w:rPr>
        <w:t xml:space="preserve"> </w:t>
      </w:r>
      <w:r>
        <w:rPr>
          <w:rFonts w:ascii="Arial" w:hAnsi="Arial"/>
          <w:color w:val="000000"/>
          <w:sz w:val="20"/>
        </w:rPr>
        <w:t>million, respectively, which were recognized as product revenues in the Company’s defense and advanced technologies segment for such periods. The Company may from time to time receive additional licensing and royalty payments under the settlement and licensing agreement.</w:t>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Note 9 — Income Taxes</w:t>
      </w:r>
    </w:p>
    <w:p>
      <w:pPr>
        <w:pStyle w:val="TextBody"/>
        <w:bidi w:val="0"/>
        <w:spacing w:before="80" w:after="283"/>
        <w:jc w:val="left"/>
        <w:rPr>
          <w:rFonts w:ascii="Times New Roman" w:hAnsi="Times New Roman"/>
          <w:sz w:val="20"/>
        </w:rPr>
      </w:pPr>
      <w:r>
        <w:rPr>
          <w:rFonts w:ascii="Arial" w:hAnsi="Arial"/>
          <w:color w:val="000000"/>
          <w:sz w:val="20"/>
        </w:rPr>
        <w:t>For the three months ended June 30, 2025 and 2024, the Company recorded income tax provisions of $6.6</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 respectively, resulting in effective tax rates of negative 15%</w:t>
      </w:r>
      <w:r>
        <w:rPr>
          <w:rFonts w:ascii="Times New Roman" w:hAnsi="Times New Roman"/>
          <w:color w:val="000000"/>
          <w:sz w:val="20"/>
        </w:rPr>
        <w:t xml:space="preserve"> </w:t>
      </w:r>
      <w:r>
        <w:rPr>
          <w:rFonts w:ascii="Arial" w:hAnsi="Arial"/>
          <w:color w:val="000000"/>
          <w:sz w:val="20"/>
        </w:rPr>
        <w:t>and negative 5%, respectively. The effective tax rates for both of the periods differed from the U.S. statutory rate primarily due to a U.S. valuation allowance and foreign tax rate differences.</w:t>
      </w:r>
    </w:p>
    <w:p>
      <w:pPr>
        <w:pStyle w:val="TextBody"/>
        <w:bidi w:val="0"/>
        <w:spacing w:before="180" w:after="283"/>
        <w:jc w:val="left"/>
        <w:rPr>
          <w:rFonts w:ascii="Times New Roman" w:hAnsi="Times New Roman"/>
          <w:sz w:val="20"/>
        </w:rPr>
      </w:pPr>
      <w:r>
        <w:rPr>
          <w:rFonts w:ascii="Arial" w:hAnsi="Arial"/>
          <w:color w:val="000000"/>
          <w:sz w:val="20"/>
        </w:rPr>
        <w:t>The Company's total valuation allowance increased from $430.5</w:t>
      </w:r>
      <w:r>
        <w:rPr>
          <w:rFonts w:ascii="Times New Roman" w:hAnsi="Times New Roman"/>
          <w:color w:val="000000"/>
          <w:sz w:val="20"/>
        </w:rPr>
        <w:t xml:space="preserve"> </w:t>
      </w:r>
      <w:r>
        <w:rPr>
          <w:rFonts w:ascii="Arial" w:hAnsi="Arial"/>
          <w:color w:val="000000"/>
          <w:sz w:val="20"/>
        </w:rPr>
        <w:t>million at March 31, 2025</w:t>
      </w:r>
      <w:r>
        <w:rPr>
          <w:rFonts w:ascii="Times New Roman" w:hAnsi="Times New Roman"/>
          <w:color w:val="000000"/>
          <w:sz w:val="20"/>
        </w:rPr>
        <w:t xml:space="preserve"> </w:t>
      </w:r>
      <w:r>
        <w:rPr>
          <w:rFonts w:ascii="Arial" w:hAnsi="Arial"/>
          <w:color w:val="000000"/>
          <w:sz w:val="20"/>
        </w:rPr>
        <w:t>to $440.2</w:t>
      </w:r>
      <w:r>
        <w:rPr>
          <w:rFonts w:ascii="Times New Roman" w:hAnsi="Times New Roman"/>
          <w:color w:val="000000"/>
          <w:sz w:val="20"/>
        </w:rPr>
        <w:t xml:space="preserve"> </w:t>
      </w:r>
      <w:r>
        <w:rPr>
          <w:rFonts w:ascii="Arial" w:hAnsi="Arial"/>
          <w:color w:val="000000"/>
          <w:sz w:val="20"/>
        </w:rPr>
        <w:t>million at June 30, 2025, relating to carryforwards for federal, state, and foreign net operating losses, federal and state research and development tax credits, and foreign tax credits.</w:t>
      </w:r>
    </w:p>
    <w:p>
      <w:pPr>
        <w:pStyle w:val="TextBody"/>
        <w:bidi w:val="0"/>
        <w:spacing w:before="180" w:after="283"/>
        <w:jc w:val="left"/>
        <w:rPr>
          <w:rFonts w:ascii="Times New Roman" w:hAnsi="Times New Roman"/>
          <w:sz w:val="20"/>
        </w:rPr>
      </w:pPr>
      <w:r>
        <w:rPr>
          <w:rFonts w:ascii="Arial" w:hAnsi="Arial"/>
          <w:color w:val="000000"/>
          <w:sz w:val="20"/>
        </w:rPr>
        <w:t>For the three months ended June 30, 2025, the Company’s gross unrecognized tax benefits increased by $4.1</w:t>
      </w:r>
      <w:r>
        <w:rPr>
          <w:rFonts w:ascii="Times New Roman" w:hAnsi="Times New Roman"/>
          <w:color w:val="000000"/>
          <w:sz w:val="20"/>
        </w:rPr>
        <w:t xml:space="preserve"> </w:t>
      </w:r>
      <w:r>
        <w:rPr>
          <w:rFonts w:ascii="Arial" w:hAnsi="Arial"/>
          <w:color w:val="000000"/>
          <w:sz w:val="20"/>
        </w:rPr>
        <w:t>million, and interest and penalties increased by an insignificant amount. Of the total $192.3</w:t>
      </w:r>
      <w:r>
        <w:rPr>
          <w:rFonts w:ascii="Times New Roman" w:hAnsi="Times New Roman"/>
          <w:color w:val="000000"/>
          <w:sz w:val="20"/>
        </w:rPr>
        <w:t xml:space="preserve"> </w:t>
      </w:r>
      <w:r>
        <w:rPr>
          <w:rFonts w:ascii="Arial" w:hAnsi="Arial"/>
          <w:color w:val="000000"/>
          <w:sz w:val="20"/>
        </w:rPr>
        <w:t>million gross unrecognized tax benefits at June 30, 2025, $14.2</w:t>
      </w:r>
      <w:r>
        <w:rPr>
          <w:rFonts w:ascii="Times New Roman" w:hAnsi="Times New Roman"/>
          <w:color w:val="000000"/>
          <w:sz w:val="20"/>
        </w:rPr>
        <w:t xml:space="preserve"> </w:t>
      </w:r>
      <w:r>
        <w:rPr>
          <w:rFonts w:ascii="Arial" w:hAnsi="Arial"/>
          <w:color w:val="000000"/>
          <w:sz w:val="20"/>
        </w:rPr>
        <w:t>million would reduce the Company's annual effective tax rate if recognized based on the Company's valuation allowance position at June 30, 2025.</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Subsequent to the first quarter of fiscal year 2026, the One Big Beautiful Bill Act (OBBBA) was enacted in the United States. As required by ASC 740, no impacts of the tax law changes pursuant to the OBBBA are included in the three months ended June 30, 2025. The OBBBA includes a broad range of material business tax reforms, such as 100% bonus depreciation, expensing of U.S.-based research and development, modification of the interest expense limitation, and modification of various U.S. international tax provisions. The Company is currently evaluating the impacts of the tax law changes pursuant to the OBBBA on its consolidated financial statements and disclosures.</w:t>
      </w:r>
    </w:p>
    <w:p>
      <w:pPr>
        <w:pStyle w:val="TextBody"/>
        <w:bidi w:val="0"/>
        <w:spacing w:before="280" w:after="283"/>
        <w:jc w:val="left"/>
        <w:rPr>
          <w:rFonts w:ascii="Times New Roman" w:hAnsi="Times New Roman"/>
          <w:sz w:val="20"/>
        </w:rPr>
      </w:pPr>
      <w:r>
        <w:rPr>
          <w:rFonts w:ascii="Arial" w:hAnsi="Arial"/>
          <w:b/>
          <w:color w:val="000000"/>
          <w:sz w:val="20"/>
        </w:rPr>
        <w:t>Note 10 — Segment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Company reports its results in two</w:t>
      </w:r>
      <w:r>
        <w:rPr>
          <w:rFonts w:ascii="Times New Roman" w:hAnsi="Times New Roman"/>
          <w:color w:val="000000"/>
          <w:sz w:val="20"/>
        </w:rPr>
        <w:t xml:space="preserve"> </w:t>
      </w:r>
      <w:r>
        <w:rPr>
          <w:rFonts w:ascii="Arial" w:hAnsi="Arial"/>
          <w:color w:val="000000"/>
          <w:sz w:val="20"/>
        </w:rPr>
        <w:t>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w:t>
      </w:r>
    </w:p>
    <w:p>
      <w:pPr>
        <w:pStyle w:val="TextBody"/>
        <w:bidi w:val="0"/>
        <w:spacing w:before="80" w:after="283"/>
        <w:jc w:val="left"/>
        <w:rPr>
          <w:rFonts w:ascii="Times New Roman" w:hAnsi="Times New Roman"/>
          <w:sz w:val="20"/>
        </w:rPr>
      </w:pPr>
      <w:r>
        <w:rPr>
          <w:rFonts w:ascii="Arial" w:hAnsi="Arial"/>
          <w:color w:val="000000"/>
          <w:sz w:val="20"/>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Company’s communication services segment provides a wide range of broadband and narrowband communications solutions across government and commercial mobility markets, as well as for residential and enterprise fixed broadband customers. 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 The Company’s defense and advanced technologies segment revenues are primarily derived from the Company’s information security and cyber defense, space and mission systems, tactical networking, and advanced technologies and other products and services, which are provided to government and commercial customers.</w:t>
      </w:r>
    </w:p>
    <w:p>
      <w:pPr>
        <w:pStyle w:val="TextBody"/>
        <w:bidi w:val="0"/>
        <w:spacing w:before="80" w:after="283"/>
        <w:jc w:val="left"/>
        <w:rPr>
          <w:rFonts w:ascii="Arial" w:hAnsi="Arial"/>
          <w:color w:val="000000"/>
          <w:sz w:val="20"/>
        </w:rPr>
      </w:pPr>
      <w:r>
        <w:rPr>
          <w:rFonts w:ascii="Arial" w:hAnsi="Arial"/>
          <w:color w:val="000000"/>
          <w:sz w:val="20"/>
        </w:rPr>
        <w:t>The Company's Chief Operating Decision Maker (CODM) is the Company's Chairman of the Board and Chief Executive Officer. Segment operating profits (losses) are the primary measure used by the Company's CODM to evaluate segment operating performance. The CODM regularly reviews budget-to-actual variances of segment operating profits (losses) when evaluating segment performance and allocating resources to each segment.</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Segment revenues, expenses and operating profits (losses) for the three months ended June 30, 2025 and 2024 were as follows:</w:t>
      </w:r>
    </w:p>
    <w:tbl>
      <w:tblPr>
        <w:tblW w:w="9475" w:type="dxa"/>
        <w:jc w:val="left"/>
        <w:tblInd w:w="0" w:type="dxa"/>
        <w:tblLayout w:type="fixed"/>
        <w:tblCellMar>
          <w:top w:w="28" w:type="dxa"/>
          <w:left w:w="28" w:type="dxa"/>
          <w:bottom w:w="28" w:type="dxa"/>
          <w:right w:w="28" w:type="dxa"/>
        </w:tblCellMar>
      </w:tblPr>
      <w:tblGrid>
        <w:gridCol w:w="5376"/>
        <w:gridCol w:w="346"/>
        <w:gridCol w:w="211"/>
        <w:gridCol w:w="931"/>
        <w:gridCol w:w="166"/>
        <w:gridCol w:w="146"/>
        <w:gridCol w:w="211"/>
        <w:gridCol w:w="931"/>
        <w:gridCol w:w="166"/>
        <w:gridCol w:w="991"/>
      </w:tblGrid>
      <w:tr>
        <w:trPr/>
        <w:tc>
          <w:tcPr>
            <w:tcW w:w="5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Aviation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Government satcom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Maritime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Fixed services and other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766,611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Total communication services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Information security and cyber defense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Space and mission systems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Tactical networking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Advanced technologies and other products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products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Total defense and advanced technologies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Elimination of intersegment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1,171,054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1,126,460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than acquired intangible assets amortization </w:t>
            </w:r>
            <w:r>
              <w:rPr>
                <w:rFonts w:ascii="Arial" w:hAnsi="Arial"/>
                <w:color w:val="000000"/>
                <w:sz w:val="12"/>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Acquisition and transaction 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8"/>
              </w:rPr>
            </w:pPr>
            <w:r>
              <w:rPr>
                <w:rFonts w:ascii="Arial" w:hAnsi="Arial"/>
                <w:color w:val="000000"/>
                <w:sz w:val="18"/>
              </w:rPr>
              <w:t xml:space="preserve">Total communication services expenses </w:t>
            </w:r>
            <w:r>
              <w:rPr>
                <w:rFonts w:ascii="Arial" w:hAnsi="Arial"/>
                <w:color w:val="000000"/>
                <w:sz w:val="12"/>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786,495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than acquired intangible assets amortization </w:t>
            </w:r>
            <w:r>
              <w:rPr>
                <w:rFonts w:ascii="Arial" w:hAnsi="Arial"/>
                <w:color w:val="000000"/>
                <w:sz w:val="12"/>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Acquisition and transaction 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8"/>
              </w:rPr>
            </w:pPr>
            <w:r>
              <w:rPr>
                <w:rFonts w:ascii="Arial" w:hAnsi="Arial"/>
                <w:color w:val="000000"/>
                <w:sz w:val="18"/>
              </w:rPr>
              <w:t xml:space="preserve">Total defense and advanced technologies expenses </w:t>
            </w:r>
            <w:r>
              <w:rPr>
                <w:rFonts w:ascii="Arial" w:hAnsi="Arial"/>
                <w:color w:val="000000"/>
                <w:sz w:val="12"/>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profits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Elimination of intersegment operating profits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operating profit (loss) before corporate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acquired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gain on extinguishment of debt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Including amortization of capitalized cloud computing implementation costs.</w:t>
      </w:r>
    </w:p>
    <w:p>
      <w:pPr>
        <w:pStyle w:val="TextBody"/>
        <w:bidi w:val="0"/>
        <w:spacing w:before="40" w:after="283"/>
        <w:jc w:val="left"/>
        <w:rPr>
          <w:rFonts w:ascii="Arial" w:hAnsi="Arial"/>
          <w:color w:val="000000"/>
          <w:sz w:val="20"/>
        </w:rPr>
      </w:pPr>
      <w:r>
        <w:rPr>
          <w:rFonts w:ascii="Arial" w:hAnsi="Arial"/>
          <w:color w:val="000000"/>
          <w:sz w:val="20"/>
        </w:rPr>
        <w:t>(2)</w:t>
      </w:r>
    </w:p>
    <w:p>
      <w:pPr>
        <w:pStyle w:val="TextBody"/>
        <w:bidi w:val="0"/>
        <w:spacing w:before="40" w:after="283"/>
        <w:jc w:val="left"/>
        <w:rPr>
          <w:rFonts w:ascii="Arial" w:hAnsi="Arial"/>
          <w:color w:val="000000"/>
          <w:sz w:val="20"/>
        </w:rPr>
      </w:pPr>
      <w:r>
        <w:rPr>
          <w:rFonts w:ascii="Arial" w:hAnsi="Arial"/>
          <w:color w:val="000000"/>
          <w:sz w:val="20"/>
        </w:rPr>
        <w:t>Other segment items include operating expenses such as cost of service and product revenues, selling, general and administrative expenses, IR&amp;D expenses and related activities excluding allocable portion of depreciation, other than acquired intangibles amortization, stock-based compensation, and certain significant items that are disclosed under each segment.</w:t>
      </w:r>
    </w:p>
    <w:p>
      <w:pPr>
        <w:pStyle w:val="TextBody"/>
        <w:bidi w:val="0"/>
        <w:spacing w:before="40" w:after="283"/>
        <w:jc w:val="left"/>
        <w:rPr>
          <w:rFonts w:ascii="Arial" w:hAnsi="Arial"/>
          <w:color w:val="000000"/>
          <w:sz w:val="20"/>
        </w:rPr>
      </w:pPr>
      <w:r>
        <w:rPr>
          <w:rFonts w:ascii="Arial" w:hAnsi="Arial"/>
          <w:color w:val="000000"/>
          <w:sz w:val="20"/>
        </w:rPr>
        <w:t>(3)</w:t>
      </w:r>
    </w:p>
    <w:p>
      <w:pPr>
        <w:pStyle w:val="TextBody"/>
        <w:bidi w:val="0"/>
        <w:spacing w:before="40" w:after="283"/>
        <w:jc w:val="left"/>
        <w:rPr>
          <w:rFonts w:ascii="Arial" w:hAnsi="Arial"/>
          <w:color w:val="000000"/>
          <w:sz w:val="20"/>
        </w:rPr>
      </w:pPr>
      <w:r>
        <w:rPr>
          <w:rFonts w:ascii="Arial" w:hAnsi="Arial"/>
          <w:color w:val="000000"/>
          <w:sz w:val="20"/>
        </w:rPr>
        <w:t>For the three months ended June 30, 2025 and 2024, IR&amp;D expense and related activities, including allocable depreciation, stock-based compensation and other expenses were $19.2 million and $25.8 million, respectively, for the communication services segment, and $15.0 million and $12.8 million, respectively, for the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The CODM is not regularly provided assets on a segment basis, therefore, such information is not presented.</w:t>
      </w:r>
    </w:p>
    <w:p>
      <w:pPr>
        <w:pStyle w:val="TextBody"/>
        <w:bidi w:val="0"/>
        <w:spacing w:before="180" w:after="283"/>
        <w:jc w:val="left"/>
        <w:rPr>
          <w:rFonts w:ascii="Arial" w:hAnsi="Arial"/>
          <w:color w:val="000000"/>
          <w:sz w:val="20"/>
        </w:rPr>
      </w:pPr>
      <w:r>
        <w:rPr>
          <w:rFonts w:ascii="Arial" w:hAnsi="Arial"/>
          <w:color w:val="000000"/>
          <w:sz w:val="20"/>
        </w:rPr>
        <w:t>Revenues by geographic area for the three months ended June 30, 2025 and 2024 were as follows:</w:t>
      </w:r>
    </w:p>
    <w:p>
      <w:pPr>
        <w:pStyle w:val="TextBody"/>
        <w:bidi w:val="0"/>
        <w:jc w:val="left"/>
        <w:rPr/>
      </w:pPr>
      <w:r>
        <w:rPr/>
        <w:t> </w:t>
      </w:r>
    </w:p>
    <w:tbl>
      <w:tblPr>
        <w:tblW w:w="8284" w:type="dxa"/>
        <w:jc w:val="left"/>
        <w:tblInd w:w="0" w:type="dxa"/>
        <w:tblLayout w:type="fixed"/>
        <w:tblCellMar>
          <w:top w:w="28" w:type="dxa"/>
          <w:left w:w="28" w:type="dxa"/>
          <w:bottom w:w="28" w:type="dxa"/>
          <w:right w:w="28" w:type="dxa"/>
        </w:tblCellMar>
      </w:tblPr>
      <w:tblGrid>
        <w:gridCol w:w="5311"/>
        <w:gridCol w:w="146"/>
        <w:gridCol w:w="211"/>
        <w:gridCol w:w="961"/>
        <w:gridCol w:w="146"/>
        <w:gridCol w:w="146"/>
        <w:gridCol w:w="211"/>
        <w:gridCol w:w="961"/>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776,495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Non-U.S. customers (each country individually insignificant)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349,965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1,126,460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68" w:after="283"/>
        <w:jc w:val="left"/>
        <w:rPr>
          <w:rFonts w:ascii="Arial" w:hAnsi="Arial"/>
          <w:color w:val="000000"/>
          <w:sz w:val="20"/>
        </w:rPr>
      </w:pPr>
      <w:r>
        <w:rPr>
          <w:rFonts w:ascii="Arial" w:hAnsi="Arial"/>
          <w:color w:val="000000"/>
          <w:sz w:val="20"/>
        </w:rPr>
        <w:t>The Company distinguishes revenues from external customers by geographic area based on customer location.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trends in our business or key markets; growth opportunities; the ability to successfully compete in our target markets and durability or strengthening of competitive advantages; the construction, completion, testing, launch, commencement of commercial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introduction and integration of multi-orbit capabilities; future economic conditions; the development, customer acceptance and anticipated performance of our technologies, products or services; plans, objectives and strategies for future operations; ability to drive capital efficiency and improved resource utilization; the number of additional aircraft or vessels anticipated to be put into service with our connectivity systems; expected revenue streams from the Ligado settlement;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bankruptcy court approval of the Ligado settlement and compliance by Ligado with its terms; our dependence on a limited number of key employees; and other factors identified under the heading “Risk Factors” in Part I, Item 1A of our Annual Report on Form 10-K for the fiscal year ended March 31, 2025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reportable segments: communication services and defense and advanced technologies. Viasat, Inc. (Viasat) was incorporated in California in 1986, and reincorporated as a Delaware corporation in 1996.</w:t>
      </w:r>
    </w:p>
    <w:p>
      <w:pPr>
        <w:pStyle w:val="TextBody"/>
        <w:bidi w:val="0"/>
        <w:spacing w:before="280" w:after="283"/>
        <w:jc w:val="left"/>
        <w:rPr>
          <w:rFonts w:ascii="Arial" w:hAnsi="Arial"/>
          <w:b/>
          <w:color w:val="000000"/>
          <w:sz w:val="20"/>
        </w:rPr>
      </w:pPr>
      <w:r>
        <w:rPr>
          <w:rFonts w:ascii="Arial" w:hAnsi="Arial"/>
          <w:b/>
          <w:color w:val="000000"/>
          <w:sz w:val="20"/>
        </w:rPr>
        <w:t>Communication Services</w:t>
      </w:r>
    </w:p>
    <w:p>
      <w:pPr>
        <w:pStyle w:val="TextBody"/>
        <w:bidi w:val="0"/>
        <w:spacing w:before="80" w:after="283"/>
        <w:jc w:val="left"/>
        <w:rPr>
          <w:rFonts w:ascii="Times New Roman" w:hAnsi="Times New Roman"/>
          <w:sz w:val="20"/>
        </w:rPr>
      </w:pPr>
      <w:r>
        <w:rPr>
          <w:rFonts w:ascii="Arial" w:hAnsi="Arial"/>
          <w:color w:val="000000"/>
          <w:sz w:val="20"/>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communication services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Aviation, which includes industry-leading in-flight connectivity (IFC) services, narrowband safety operational data services and other complementary services and applications for commercial aircraft, business jets and unmanned aircraft. As of June 30, 2025, we had our IFC systems installed and in service on approximately 4,230 commercial aircraft, of which approximately 100 were inactive at quarter end (mostly due to standard aircraft maintenance), and approximately 2,050 business jets with Ka-band communication services. We anticipate that approximately 1,580 additional commercial aircraft will be put into service with our IFC systems under existing customer agreements with commercial airlines. However, due to the nature of commercial airline contracts and other factors such as original equipment manufacturer (OEM) delays, there can be no assurance that anticipated IFC services will be activated on all such additional commercial aircraft.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services and L-band Advanced Communications Element terminals.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June 30, 2025, we provided Ka-band communication services to approximately 13,900 vessels.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Fixed services and other, which includes high-speed, high-quality, reliable fixed broadband internet services to businesses and residential users (primarily in the United States as well as in various countries in Europe and Latin America), enterprise connectivity solutions, Internet-of-Things and other narrowband services (such as L-band managed services that enable real-time machine-to-machine position or high-value asset tracking), energy services, and prepaid internet services that provide innovative, affordable, satellite-based connectivity in communities that have little or no access to the internet. As of June 30, 2025, our U.S. fixed broadband business had approximately 172,000 subscribers with an average monthly revenue per user of $115.</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Defense and Advanced Technologies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are the primary business lines in our defense and advanced technologies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Information security and cyber defense, which comprises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Information security and cyber defense also includes our Move Out/Jump Off expeditionary tactical gateway family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Tactical networking, which provides resilient communications designed for on-the-move or on-the-pause operations in a multi-domain battlespace with friendly force tracking and narrowband solutions. Tactical networking includes the products and services offered by TrellisWare Technologies, Inc.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pStyle w:val="TextBody"/>
        <w:bidi w:val="0"/>
        <w:spacing w:before="280" w:after="283"/>
        <w:jc w:val="left"/>
        <w:rPr>
          <w:rFonts w:ascii="Times New Roman" w:hAnsi="Times New Roman"/>
          <w:sz w:val="20"/>
        </w:rPr>
      </w:pPr>
      <w:r>
        <w:rPr>
          <w:rFonts w:ascii="Arial" w:hAnsi="Arial"/>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a summary of factors and trends affecting our results of operations, see Part II, Item 7, "Factors and Trends Affecting our Results of Operations" in our Annual Report on Form 10-K for the year ended March 31, 2025.</w:t>
      </w:r>
    </w:p>
    <w:p>
      <w:pPr>
        <w:pStyle w:val="TextBody"/>
        <w:bidi w:val="0"/>
        <w:spacing w:before="280" w:after="283"/>
        <w:jc w:val="left"/>
        <w:rPr>
          <w:rFonts w:ascii="Times New Roman" w:hAnsi="Times New Roman"/>
          <w:sz w:val="20"/>
        </w:rPr>
      </w:pPr>
      <w:r>
        <w:rPr>
          <w:rFonts w:ascii="Arial" w:hAnsi="Arial"/>
          <w:b/>
          <w:color w:val="000000"/>
          <w:sz w:val="20"/>
        </w:rPr>
        <w:t>Sources of Revenues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communication services segment revenues are primarily derived from our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80" w:after="283"/>
        <w:jc w:val="left"/>
        <w:rPr>
          <w:rFonts w:ascii="Arial" w:hAnsi="Arial"/>
          <w:color w:val="000000"/>
          <w:sz w:val="20"/>
        </w:rPr>
      </w:pPr>
      <w:r>
        <w:rPr>
          <w:rFonts w:ascii="Arial" w:hAnsi="Arial"/>
          <w:color w:val="000000"/>
          <w:sz w:val="20"/>
        </w:rPr>
        <w:t>Our defense and advanced technologies segment revenues are primarily derived from our information security and cyber defense, space and mission systems, tactical networking, and advanced technologies and other, products and services, which are provided to government and commercial customers.</w:t>
      </w:r>
    </w:p>
    <w:p>
      <w:pPr>
        <w:pStyle w:val="TextBody"/>
        <w:bidi w:val="0"/>
        <w:spacing w:before="80" w:after="283"/>
        <w:jc w:val="left"/>
        <w:rPr>
          <w:rFonts w:ascii="Arial" w:hAnsi="Arial"/>
          <w:color w:val="000000"/>
          <w:sz w:val="20"/>
        </w:rPr>
      </w:pPr>
      <w:r>
        <w:rPr>
          <w:rFonts w:ascii="Arial" w:hAnsi="Arial"/>
          <w:color w:val="000000"/>
          <w:sz w:val="20"/>
        </w:rPr>
        <w:t>Almost all of our revenues are derived from fixed-price contracts (which require us to provide products and services under a contract at a specified price), which are reported in both of our segments. The remainder of our revenues is primarily from cost-reimbursement contracts (under which we are reimbursed for all actual costs incurred in performing the contract to the extent such costs are within the contract ceiling and allowable under the terms of the contract, plus a fee or profit), which are mainly reported within our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Historically, a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To date, our ability to grow and maintain our revenues in each of our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pStyle w:val="TextBody"/>
        <w:bidi w:val="0"/>
        <w:spacing w:before="180" w:after="283"/>
        <w:jc w:val="left"/>
        <w:rPr>
          <w:rFonts w:ascii="Times New Roman" w:hAnsi="Times New Roman"/>
          <w:sz w:val="20"/>
        </w:rPr>
      </w:pPr>
      <w:r>
        <w:rPr>
          <w:rFonts w:ascii="Arial" w:hAnsi="Arial"/>
          <w:color w:val="000000"/>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Basis of Presentation –</w:t>
      </w:r>
      <w:r>
        <w:rPr>
          <w:rFonts w:ascii="Times New Roman" w:hAnsi="Times New Roman"/>
          <w:color w:val="000000"/>
          <w:sz w:val="20"/>
        </w:rPr>
        <w:t xml:space="preserve"> </w:t>
      </w:r>
      <w:r>
        <w:rPr>
          <w:rFonts w:ascii="Arial" w:hAnsi="Arial"/>
          <w:color w:val="000000"/>
          <w:sz w:val="20"/>
        </w:rPr>
        <w:t>Leases</w:t>
      </w:r>
      <w:r>
        <w:rPr>
          <w:rFonts w:ascii="Times New Roman" w:hAnsi="Times New Roman"/>
          <w:color w:val="000000"/>
          <w:sz w:val="20"/>
        </w:rPr>
        <w:t xml:space="preserve"> </w:t>
      </w:r>
      <w:r>
        <w:rPr>
          <w:rFonts w:ascii="Arial" w:hAnsi="Arial"/>
          <w:color w:val="000000"/>
          <w:sz w:val="20"/>
        </w:rPr>
        <w:t>to our condensed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283"/>
        <w:jc w:val="left"/>
        <w:rPr>
          <w:rFonts w:ascii="Arial" w:hAnsi="Arial"/>
          <w:color w:val="000000"/>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2025 would change our income (loss) before income taxes by an insignificant amount.</w:t>
      </w:r>
    </w:p>
    <w:p>
      <w:pPr>
        <w:pStyle w:val="TextBody"/>
        <w:bidi w:val="0"/>
        <w:spacing w:before="1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pStyle w:val="TextBody"/>
        <w:bidi w:val="0"/>
        <w:spacing w:before="180" w:after="283"/>
        <w:jc w:val="left"/>
        <w:rPr>
          <w:rFonts w:ascii="Arial" w:hAnsi="Arial"/>
          <w:color w:val="000000"/>
          <w:sz w:val="20"/>
        </w:rPr>
      </w:pPr>
      <w:r>
        <w:rPr>
          <w:rFonts w:ascii="Arial" w:hAnsi="Arial"/>
          <w:color w:val="000000"/>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spacing w:before="80" w:after="283"/>
        <w:jc w:val="left"/>
        <w:rPr>
          <w:rFonts w:ascii="Times New Roman" w:hAnsi="Times New Roman"/>
          <w:sz w:val="20"/>
        </w:rPr>
      </w:pPr>
      <w:r>
        <w:rPr>
          <w:rFonts w:ascii="Arial" w:hAnsi="Arial"/>
          <w:color w:val="000000"/>
          <w:sz w:val="20"/>
        </w:rPr>
        <w:t>In accordance with the authoritative guidance for leases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Arial" w:hAnsi="Arial"/>
          <w:b/>
          <w:i/>
          <w:color w:val="000000"/>
          <w:sz w:val="20"/>
        </w:rPr>
      </w:pPr>
      <w:r>
        <w:rPr>
          <w:rFonts w:ascii="Arial" w:hAnsi="Arial"/>
          <w:b/>
          <w:i/>
          <w:color w:val="000000"/>
          <w:sz w:val="20"/>
        </w:rPr>
        <w:t>Business combinations</w:t>
      </w:r>
    </w:p>
    <w:p>
      <w:pPr>
        <w:pStyle w:val="TextBody"/>
        <w:bidi w:val="0"/>
        <w:spacing w:before="80" w:after="283"/>
        <w:jc w:val="left"/>
        <w:rPr>
          <w:rFonts w:ascii="Times New Roman" w:hAnsi="Times New Roman"/>
          <w:sz w:val="20"/>
        </w:rPr>
      </w:pPr>
      <w:r>
        <w:rPr>
          <w:rFonts w:ascii="Arial" w:hAnsi="Arial"/>
          <w:color w:val="000000"/>
          <w:sz w:val="20"/>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for the three months ended June 30, 2025 and 2024.</w:t>
      </w:r>
    </w:p>
    <w:p>
      <w:pPr>
        <w:pStyle w:val="TextBody"/>
        <w:bidi w:val="0"/>
        <w:spacing w:before="180" w:after="283"/>
        <w:jc w:val="left"/>
        <w:rPr>
          <w:rFonts w:ascii="Arial" w:hAnsi="Arial"/>
          <w:color w:val="000000"/>
          <w:sz w:val="20"/>
        </w:rPr>
      </w:pPr>
      <w:r>
        <w:rPr>
          <w:rFonts w:ascii="Arial" w:hAnsi="Arial"/>
          <w:color w:val="000000"/>
          <w:sz w:val="20"/>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pStyle w:val="TextBody"/>
        <w:bidi w:val="0"/>
        <w:spacing w:before="180" w:after="283"/>
        <w:jc w:val="left"/>
        <w:rPr>
          <w:rFonts w:ascii="Arial" w:hAnsi="Arial"/>
          <w:color w:val="000000"/>
          <w:sz w:val="20"/>
        </w:rPr>
      </w:pPr>
      <w:r>
        <w:rPr>
          <w:rFonts w:ascii="Arial" w:hAnsi="Arial"/>
          <w:color w:val="000000"/>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color w:val="000000"/>
          <w:sz w:val="20"/>
        </w:rPr>
        <w:t>Based on our qualitative and quantitative assessment performed during the fourth quarter of fiscal year 2025, we concluded that it was more likely than not that the estimated fair value of each of our reporting units exceeded their related carrying value as of March 31, 2025.</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Income taxes and valuation allowance on deferred tax assets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pStyle w:val="TextBody"/>
        <w:bidi w:val="0"/>
        <w:spacing w:before="180" w:after="283"/>
        <w:jc w:val="left"/>
        <w:rPr>
          <w:rFonts w:ascii="Arial" w:hAnsi="Arial"/>
          <w:color w:val="000000"/>
          <w:sz w:val="20"/>
        </w:rPr>
      </w:pPr>
      <w:r>
        <w:rPr>
          <w:rFonts w:ascii="Arial" w:hAnsi="Arial"/>
          <w:color w:val="000000"/>
          <w:sz w:val="20"/>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pStyle w:val="TextBody"/>
        <w:bidi w:val="0"/>
        <w:spacing w:before="180" w:after="283"/>
        <w:jc w:val="left"/>
        <w:rPr>
          <w:rFonts w:ascii="Times New Roman" w:hAnsi="Times New Roman"/>
          <w:sz w:val="20"/>
        </w:rPr>
      </w:pPr>
      <w:r>
        <w:rPr>
          <w:rFonts w:ascii="Arial" w:hAnsi="Arial"/>
          <w:color w:val="000000"/>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following table presents, as a percentage of total revenues, income statement data for the periods indicated:</w:t>
      </w:r>
      <w:r>
        <w:rPr>
          <w:rFonts w:ascii="Times New Roman" w:hAnsi="Times New Roman"/>
          <w:color w:val="000000"/>
          <w:sz w:val="20"/>
        </w:rPr>
        <w:t xml:space="preserve"> </w:t>
      </w:r>
    </w:p>
    <w:p>
      <w:pPr>
        <w:pStyle w:val="TextBody"/>
        <w:bidi w:val="0"/>
        <w:jc w:val="left"/>
        <w:rPr/>
      </w:pPr>
      <w:r>
        <w:rPr/>
        <w:t> </w:t>
      </w:r>
    </w:p>
    <w:tbl>
      <w:tblPr>
        <w:tblW w:w="7626" w:type="dxa"/>
        <w:jc w:val="left"/>
        <w:tblInd w:w="0" w:type="dxa"/>
        <w:tblLayout w:type="fixed"/>
        <w:tblCellMar>
          <w:top w:w="28" w:type="dxa"/>
          <w:left w:w="28" w:type="dxa"/>
          <w:bottom w:w="28" w:type="dxa"/>
          <w:right w:w="28" w:type="dxa"/>
        </w:tblCellMar>
      </w:tblPr>
      <w:tblGrid>
        <w:gridCol w:w="4046"/>
        <w:gridCol w:w="146"/>
        <w:gridCol w:w="300"/>
        <w:gridCol w:w="870"/>
        <w:gridCol w:w="320"/>
        <w:gridCol w:w="163"/>
        <w:gridCol w:w="300"/>
        <w:gridCol w:w="870"/>
        <w:gridCol w:w="611"/>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Viasat,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Three Months Ended June 30, 2025 vs. Three Months Ended June 30, 2024</w:t>
      </w:r>
    </w:p>
    <w:p>
      <w:pPr>
        <w:pStyle w:val="TextBody"/>
        <w:bidi w:val="0"/>
        <w:spacing w:before="9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88"/>
        <w:gridCol w:w="657"/>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increased by $44.6 million as a result of a $38.9 million increase in product revenues and a $5.6 million increase in service revenues. The increase in product revenues was primarily driven by a $48.9 million increase in our defense and advanced technologies segment, partially offset by a $10.0 million decrease in our communication services segment. The increase in service revenues was primarily driven by a $10.6 million increase in our communication services segment, partially offset by a $4.9 million decrease in our defense and advanced technologies segment.</w:t>
      </w:r>
    </w:p>
    <w:p>
      <w:pPr>
        <w:pStyle w:val="TextBody"/>
        <w:bidi w:val="0"/>
        <w:spacing w:before="280" w:after="283"/>
        <w:jc w:val="left"/>
        <w:rPr>
          <w:rFonts w:ascii="Times New Roman" w:hAnsi="Times New Roman"/>
          <w:sz w:val="20"/>
        </w:rPr>
      </w:pPr>
      <w:r>
        <w:rPr>
          <w:rFonts w:ascii="Arial" w:hAnsi="Arial"/>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758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88"/>
        <w:gridCol w:w="657"/>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increased by $50.8 million due to increases of $39.2 million in cost of product revenues and $11.6 million in cost of service revenues. The increase in cost of product revenues correlated to our product revenue growth, primarily in our defense and advanced technologies segment. Product revenues in this segment included a higher percentage of intellectual property licensing and royalty-based revenues in the prior period, which had relatively low costs of product revenues. The increase in cost of service revenues was primarily due to increased service revenues, mainly in our communication services segment.</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7989" w:type="dxa"/>
        <w:jc w:val="left"/>
        <w:tblInd w:w="0" w:type="dxa"/>
        <w:tblLayout w:type="fixed"/>
        <w:tblCellMar>
          <w:top w:w="28" w:type="dxa"/>
          <w:left w:w="28" w:type="dxa"/>
          <w:bottom w:w="28" w:type="dxa"/>
          <w:right w:w="28" w:type="dxa"/>
        </w:tblCellMar>
      </w:tblPr>
      <w:tblGrid>
        <w:gridCol w:w="3106"/>
        <w:gridCol w:w="146"/>
        <w:gridCol w:w="211"/>
        <w:gridCol w:w="586"/>
        <w:gridCol w:w="146"/>
        <w:gridCol w:w="146"/>
        <w:gridCol w:w="211"/>
        <w:gridCol w:w="586"/>
        <w:gridCol w:w="146"/>
        <w:gridCol w:w="146"/>
        <w:gridCol w:w="288"/>
        <w:gridCol w:w="657"/>
        <w:gridCol w:w="146"/>
        <w:gridCol w:w="146"/>
        <w:gridCol w:w="405"/>
        <w:gridCol w:w="586"/>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$11.7 million increase in selling, general and administrative (SG&amp;A) expenses was primarily driven by an $18.3 million increase in support costs, including legal expenses associated with our Ligado settlement activities, partially offset by a $6.2 million decrease in selling costs, both of which were mainly in our communication services segment.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Times New Roman" w:hAnsi="Times New Roman"/>
          <w:sz w:val="20"/>
        </w:rPr>
      </w:pPr>
      <w:r>
        <w:rPr>
          <w:rFonts w:ascii="Arial" w:hAnsi="Arial"/>
          <w:i/>
          <w:color w:val="000000"/>
          <w:sz w:val="20"/>
        </w:rPr>
        <w:t>Independent research and development</w:t>
      </w:r>
      <w:r>
        <w:rPr>
          <w:rFonts w:ascii="Times New Roman" w:hAnsi="Times New Roman"/>
          <w:color w:val="000000"/>
          <w:sz w:val="20"/>
        </w:rPr>
        <w:t xml:space="preserve"> </w:t>
      </w:r>
    </w:p>
    <w:p>
      <w:pPr>
        <w:pStyle w:val="TextBody"/>
        <w:bidi w:val="0"/>
        <w:jc w:val="left"/>
        <w:rPr/>
      </w:pPr>
      <w:r>
        <w:rPr/>
        <w:t> </w:t>
      </w:r>
    </w:p>
    <w:tbl>
      <w:tblPr>
        <w:tblW w:w="8452" w:type="dxa"/>
        <w:jc w:val="left"/>
        <w:tblInd w:w="0" w:type="dxa"/>
        <w:tblLayout w:type="fixed"/>
        <w:tblCellMar>
          <w:top w:w="28" w:type="dxa"/>
          <w:left w:w="28" w:type="dxa"/>
          <w:bottom w:w="28" w:type="dxa"/>
          <w:right w:w="28" w:type="dxa"/>
        </w:tblCellMar>
      </w:tblPr>
      <w:tblGrid>
        <w:gridCol w:w="3541"/>
        <w:gridCol w:w="146"/>
        <w:gridCol w:w="233"/>
        <w:gridCol w:w="532"/>
        <w:gridCol w:w="152"/>
        <w:gridCol w:w="152"/>
        <w:gridCol w:w="233"/>
        <w:gridCol w:w="532"/>
        <w:gridCol w:w="146"/>
        <w:gridCol w:w="146"/>
        <w:gridCol w:w="307"/>
        <w:gridCol w:w="638"/>
        <w:gridCol w:w="166"/>
        <w:gridCol w:w="146"/>
        <w:gridCol w:w="277"/>
        <w:gridCol w:w="714"/>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Independent research and development (IR&amp;D) expenses remained relatively flat year-over-year.</w:t>
      </w:r>
    </w:p>
    <w:p>
      <w:pPr>
        <w:pStyle w:val="TextBody"/>
        <w:bidi w:val="0"/>
        <w:spacing w:before="280" w:after="283"/>
        <w:jc w:val="left"/>
        <w:rPr>
          <w:rFonts w:ascii="Times New Roman" w:hAnsi="Times New Roman"/>
          <w:sz w:val="20"/>
        </w:rPr>
      </w:pPr>
      <w:r>
        <w:rPr>
          <w:rFonts w:ascii="Arial" w:hAnsi="Arial"/>
          <w:i/>
          <w:color w:val="000000"/>
          <w:sz w:val="20"/>
        </w:rPr>
        <w:t>Amortization of acquired intangible assets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amortize our acquired intangible assets from prior acquisitions over their estimated useful lives, which range from two to 12 years. Amortization of acquired intangible assets remained relatively flat year-over-year.</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$8.5 million decrease in interest income for the three months ended June 30, 2025 compared to the prior year period was primarily due to lower interest earned as a result of lower average invested balance in combination with lower interest rates.</w:t>
      </w:r>
    </w:p>
    <w:p>
      <w:pPr>
        <w:pStyle w:val="TextBody"/>
        <w:bidi w:val="0"/>
        <w:spacing w:before="28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$5.4 million decrease in interest expense for the three months ended June 30, 2025 compared to the prior year period was primarily a result of our decreased level of indebtedness compared to the prior year period, as we redeemed Viasat's 5.625% Senior Notes due 2025 (the 2025 Notes) in full in early May 2025.</w:t>
      </w:r>
    </w:p>
    <w:p>
      <w:pPr>
        <w:pStyle w:val="TextBody"/>
        <w:bidi w:val="0"/>
        <w:spacing w:before="280" w:after="283"/>
        <w:jc w:val="left"/>
        <w:rPr>
          <w:rFonts w:ascii="Times New Roman" w:hAnsi="Times New Roman"/>
          <w:sz w:val="20"/>
        </w:rPr>
      </w:pPr>
      <w:r>
        <w:rPr>
          <w:rFonts w:ascii="Arial" w:hAnsi="Arial"/>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the three months ended June 30, 2025 and 2024, we recorded income tax provisions of $6.6 million and $1.2 million, respectively, resulting in effective tax rates of negative 15% and negative 5%, respectively. The effective tax rates for both of the periods differed from the U.S. statutory rate primarily due to a U.S. valuation allowance and foreign tax rate differences.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Segment Results for the Three Months Ended June 30, 2025 vs. Three Months Ended June 30, 2024</w:t>
      </w:r>
    </w:p>
    <w:p>
      <w:pPr>
        <w:pStyle w:val="TextBody"/>
        <w:bidi w:val="0"/>
        <w:spacing w:before="80" w:after="283"/>
        <w:jc w:val="left"/>
        <w:rPr>
          <w:rFonts w:ascii="Times New Roman" w:hAnsi="Times New Roman"/>
          <w:sz w:val="20"/>
        </w:rPr>
      </w:pPr>
      <w:r>
        <w:rPr>
          <w:rFonts w:ascii="Arial" w:hAnsi="Arial"/>
          <w:b/>
          <w:i/>
          <w:color w:val="000000"/>
          <w:sz w:val="20"/>
        </w:rPr>
        <w:t>Communication services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64"/>
        <w:gridCol w:w="681"/>
        <w:gridCol w:w="166"/>
        <w:gridCol w:w="146"/>
        <w:gridCol w:w="277"/>
        <w:gridCol w:w="714"/>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communication services segment revenues increased by $0.6 million due to a $10.6 million increase in segment service revenues, partially offset by a $10.0 million decrease in segment product revenues. The increase in segment service revenues was primarily due to growth in aviation services, partially offset by an expected decrease in revenues from fixed services and other, as we continued to allocate a greater proportion of our bandwidth to our IFC business in preference to our U.S. fixed services business due to bandwidth constraints. The IFC service revenue increase was primarily driven by the increase in the number of commercial aircraft and business jets receiving our in-flight services through our IFC systems, with our IFC systems installed and in service on approximately 4,230 commercial aircraft (of which approximately 100 were inactive at quarter end, mostly due to standard aircraft maintenance), and approximately 2,050 business jets as of June 30, 2025, compared to approximately 3,810 commercial aircraft (of which approximately 60 were inactive at quarter end, mostly due to standard aircraft maintenance) and approximately 1,850 business jets as of June 30, 2024. In addition, government satcom service revenues grew by $7.9 million compared to the prior year period. The decrease in segment product revenues was primarily attributed to the revenues generated by the energy services system integration business that we sold in December 2024.</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Segment operating profit (loss)</w:t>
      </w:r>
    </w:p>
    <w:p>
      <w:pPr>
        <w:pStyle w:val="TextBody"/>
        <w:bidi w:val="0"/>
        <w:jc w:val="left"/>
        <w:rPr/>
      </w:pPr>
      <w:r>
        <w:rPr/>
        <w:t> </w:t>
      </w:r>
    </w:p>
    <w:tbl>
      <w:tblPr>
        <w:tblW w:w="8180" w:type="dxa"/>
        <w:jc w:val="left"/>
        <w:tblInd w:w="0" w:type="dxa"/>
        <w:tblLayout w:type="fixed"/>
        <w:tblCellMar>
          <w:top w:w="28" w:type="dxa"/>
          <w:left w:w="28" w:type="dxa"/>
          <w:bottom w:w="28" w:type="dxa"/>
          <w:right w:w="28" w:type="dxa"/>
        </w:tblCellMar>
      </w:tblPr>
      <w:tblGrid>
        <w:gridCol w:w="3001"/>
        <w:gridCol w:w="146"/>
        <w:gridCol w:w="233"/>
        <w:gridCol w:w="532"/>
        <w:gridCol w:w="286"/>
        <w:gridCol w:w="146"/>
        <w:gridCol w:w="233"/>
        <w:gridCol w:w="532"/>
        <w:gridCol w:w="286"/>
        <w:gridCol w:w="146"/>
        <w:gridCol w:w="307"/>
        <w:gridCol w:w="638"/>
        <w:gridCol w:w="166"/>
        <w:gridCol w:w="146"/>
        <w:gridCol w:w="346"/>
        <w:gridCol w:w="645"/>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decrease in our communication services segment operating profit was primarily due to a $5.6 million increase in SG&amp;A costs, including legal expenses associated with our Ligado settlement activities.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Defense and advanced technologies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88"/>
        <w:gridCol w:w="657"/>
        <w:gridCol w:w="166"/>
        <w:gridCol w:w="146"/>
        <w:gridCol w:w="313"/>
        <w:gridCol w:w="678"/>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defense and advanced technologies segment revenues increased by $44.0 million due to a $48.9 million increase in segment product revenues, partially offset by a $4.9 million decrease in segment service revenues. The increase in segment product revenues was primarily driven by a $46.6 million increase in information security and cyber defense and a $14.7 million increase in space and mission systems, partially offset by a $9.2 million decrease in advanced technologies and other.</w:t>
      </w:r>
    </w:p>
    <w:p>
      <w:pPr>
        <w:pStyle w:val="TextBody"/>
        <w:bidi w:val="0"/>
        <w:spacing w:before="280" w:after="283"/>
        <w:jc w:val="left"/>
        <w:rPr>
          <w:rFonts w:ascii="Times New Roman" w:hAnsi="Times New Roman"/>
          <w:sz w:val="20"/>
        </w:rPr>
      </w:pPr>
      <w:r>
        <w:rPr>
          <w:rFonts w:ascii="Arial" w:hAnsi="Arial"/>
          <w:i/>
          <w:color w:val="000000"/>
          <w:sz w:val="20"/>
        </w:rPr>
        <w:t>Segment operating profit (loss)</w:t>
      </w:r>
      <w:r>
        <w:rPr>
          <w:rFonts w:ascii="Times New Roman" w:hAnsi="Times New Roman"/>
          <w:color w:val="000000"/>
          <w:sz w:val="20"/>
        </w:rPr>
        <w:t xml:space="preserve"> </w:t>
      </w:r>
    </w:p>
    <w:p>
      <w:pPr>
        <w:pStyle w:val="TextBody"/>
        <w:bidi w:val="0"/>
        <w:jc w:val="left"/>
        <w:rPr/>
      </w:pPr>
      <w:r>
        <w:rPr/>
        <w:t> </w:t>
      </w:r>
    </w:p>
    <w:tbl>
      <w:tblPr>
        <w:tblW w:w="8180" w:type="dxa"/>
        <w:jc w:val="left"/>
        <w:tblInd w:w="0" w:type="dxa"/>
        <w:tblLayout w:type="fixed"/>
        <w:tblCellMar>
          <w:top w:w="28" w:type="dxa"/>
          <w:left w:w="28" w:type="dxa"/>
          <w:bottom w:w="28" w:type="dxa"/>
          <w:right w:w="28" w:type="dxa"/>
        </w:tblCellMar>
      </w:tblPr>
      <w:tblGrid>
        <w:gridCol w:w="3001"/>
        <w:gridCol w:w="146"/>
        <w:gridCol w:w="233"/>
        <w:gridCol w:w="532"/>
        <w:gridCol w:w="286"/>
        <w:gridCol w:w="146"/>
        <w:gridCol w:w="233"/>
        <w:gridCol w:w="532"/>
        <w:gridCol w:w="286"/>
        <w:gridCol w:w="146"/>
        <w:gridCol w:w="264"/>
        <w:gridCol w:w="681"/>
        <w:gridCol w:w="166"/>
        <w:gridCol w:w="146"/>
        <w:gridCol w:w="277"/>
        <w:gridCol w:w="71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decrease in our defense and advanced technologies segment operating profit was primarily due to a $6.1 million increase in SG&amp;A costs and higher IR&amp;D costs supporting next generation encryption products, coupled with an increase in segment cost of product revenues that was attributed to segment product revenue growth. In addition, product revenues in this segment included a higher percentage of intellectual property licensing and royalty-based revenues in the prior period, which had relatively low costs of product revenues.</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color w:val="000000"/>
          <w:sz w:val="20"/>
        </w:rPr>
      </w:pPr>
      <w:r>
        <w:rPr>
          <w:rFonts w:ascii="Arial" w:hAnsi="Arial"/>
          <w:b/>
          <w:color w:val="000000"/>
          <w:sz w:val="20"/>
        </w:rPr>
        <w:t>Backlog</w:t>
      </w:r>
    </w:p>
    <w:p>
      <w:pPr>
        <w:pStyle w:val="TextBody"/>
        <w:bidi w:val="0"/>
        <w:spacing w:before="80" w:after="283"/>
        <w:jc w:val="left"/>
        <w:rPr>
          <w:rFonts w:ascii="Arial" w:hAnsi="Arial"/>
          <w:color w:val="000000"/>
          <w:sz w:val="20"/>
        </w:rPr>
      </w:pPr>
      <w:r>
        <w:rPr>
          <w:rFonts w:ascii="Arial" w:hAnsi="Arial"/>
          <w:color w:val="000000"/>
          <w:sz w:val="20"/>
        </w:rPr>
        <w:t>Our firm and funded backlog as of June 30, 2025 is reflected in the table below:</w:t>
      </w:r>
    </w:p>
    <w:tbl>
      <w:tblPr>
        <w:tblW w:w="5243" w:type="dxa"/>
        <w:jc w:val="left"/>
        <w:tblInd w:w="0" w:type="dxa"/>
        <w:tblLayout w:type="fixed"/>
        <w:tblCellMar>
          <w:top w:w="28" w:type="dxa"/>
          <w:left w:w="28" w:type="dxa"/>
          <w:bottom w:w="28" w:type="dxa"/>
          <w:right w:w="28" w:type="dxa"/>
        </w:tblCellMar>
      </w:tblPr>
      <w:tblGrid>
        <w:gridCol w:w="3271"/>
        <w:gridCol w:w="146"/>
        <w:gridCol w:w="358"/>
        <w:gridCol w:w="1277"/>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Firm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Funded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The firm backlog does not include contract options. As of June 30, 2025, approximately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June 30, 2025, our IFC systems were installed and in service on approximately 4,230 commercial aircraft, of which approximately 100 were inactive at quarter end (mostly due to standard aircraft maintenance). We anticipate that approximately 1,580 additional commercial aircraft will be put into service with our IFC systems under existing customer agreements with commercial airlines. Due to the nature of commercial airline contracts and other factors such as OEM delays, there can be no assurance that all anticipated purchase orders and requests will be placed or that anticipated IFC services will be activated on all such additional commercial aircraft.</w:t>
      </w:r>
    </w:p>
    <w:p>
      <w:pPr>
        <w:pStyle w:val="TextBody"/>
        <w:bidi w:val="0"/>
        <w:spacing w:before="180" w:after="283"/>
        <w:jc w:val="left"/>
        <w:rPr>
          <w:rFonts w:ascii="Arial" w:hAnsi="Arial"/>
          <w:color w:val="000000"/>
          <w:sz w:val="20"/>
        </w:rPr>
      </w:pPr>
      <w:r>
        <w:rPr>
          <w:rFonts w:ascii="Arial" w:hAnsi="Arial"/>
          <w:color w:val="000000"/>
          <w:sz w:val="20"/>
        </w:rPr>
        <w:t>Our total new awards, which exclude future revenue under recurring consumer commitment arrangements, were approximately $1.2 billion for each of the three months ended June 30, 2025 and 2024.</w:t>
      </w:r>
    </w:p>
    <w:p>
      <w:pPr>
        <w:pStyle w:val="TextBody"/>
        <w:bidi w:val="0"/>
        <w:spacing w:before="180" w:after="283"/>
        <w:jc w:val="left"/>
        <w:rPr>
          <w:rFonts w:ascii="Arial" w:hAnsi="Arial"/>
          <w:color w:val="000000"/>
          <w:sz w:val="20"/>
        </w:rPr>
      </w:pPr>
      <w:r>
        <w:rPr>
          <w:rFonts w:ascii="Arial" w:hAnsi="Arial"/>
          <w:color w:val="000000"/>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pStyle w:val="TextBody"/>
        <w:bidi w:val="0"/>
        <w:spacing w:before="180" w:after="283"/>
        <w:jc w:val="left"/>
        <w:rPr>
          <w:rFonts w:ascii="Times New Roman" w:hAnsi="Times New Roman"/>
          <w:sz w:val="20"/>
        </w:rPr>
      </w:pPr>
      <w:r>
        <w:rPr>
          <w:rFonts w:ascii="Arial" w:hAnsi="Arial"/>
          <w:color w:val="000000"/>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i/>
          <w:color w:val="000000"/>
          <w:sz w:val="20"/>
        </w:rPr>
        <w:t>Overview</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have financed our operations to date primarily with cash flows from operations, bank line of credit financing, debt financing, export credit agency financing and equity financing. At June 30, 2025, we had $1.2 billion in cash and cash equivalents, $1.3 billion in working capital, no outstanding borrowings and borrowing availability of $595.6 million under our $647.5 million revolving credit facility (the Viasat Revolving Credit Facility), and no outstanding borrowings and borrowing availability of $550.0 million under Inmarsat's $550.0 million revolving line of credit (the Inmarsat Revolving Credit Facility, and together with the Viasat Revolving Credit Facility, the Revolving Credit Facilities). At March 31, 2025, we had $1.6 billion in cash and cash equivalents, $1.2 billion in working capital, no outstanding borrowings and borrowing availability of $593.3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general cash needs of our business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cash needs of our communication services segment tend to be driven by the timing and amount of capital expenditures (e.g., payments under satellite construction and launch contracts and investments in ground infrastructure roll-out), the timing and amount of investments in IR&amp;D activities (including with respect to next-generation satellite payload technologies), investments in joint ventures, strategic partnering arrangements, network expansion activities, investments to obtain Supplemental Type Certificates to enable the retrofit installation of our IFC and wireless in-flight entertainment equipment, investments in platforms and software to support our services and entry into new markets, as well as the quality of customer, type of contract and payment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 our defense and advanced technologies segment, the primary factors determining cash needs tend to be the type and mix of contracts in backlog (e.g., product or service, development or production), timing of payments and payment terms (including restrictions on the timing of cash payments under U.S. Government procurement regulations), as well as contract duration and program performance. For example, if a program is performing well and meeting its contractual requirements, then its cash flow requirements are usually lower.</w:t>
      </w:r>
    </w:p>
    <w:p>
      <w:pPr>
        <w:pStyle w:val="TextBody"/>
        <w:bidi w:val="0"/>
        <w:spacing w:before="180" w:after="283"/>
        <w:jc w:val="left"/>
        <w:rPr>
          <w:rFonts w:ascii="Arial" w:hAnsi="Arial"/>
          <w:color w:val="000000"/>
          <w:sz w:val="20"/>
        </w:rPr>
      </w:pPr>
      <w:r>
        <w:rPr>
          <w:rFonts w:ascii="Arial" w:hAnsi="Arial"/>
          <w:color w:val="000000"/>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283"/>
        <w:jc w:val="left"/>
        <w:rPr>
          <w:rFonts w:ascii="Arial" w:hAnsi="Arial"/>
          <w:color w:val="000000"/>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we anticipate receiving $568 million from Ligado in fiscal year 2026, consisting of (i) a $420 million lump sum payment on October 31, 2025, (ii) a $100 million lump sum payment on March 31, 2026 and (iii) a resumption of quarterly payments of approximately $16 million starting on September 30, 2025 with an annual escalator of 3% for the life of the contract (through 2107). The conditions of the term sheet are subject to bankruptcy court approval.</w:t>
      </w:r>
    </w:p>
    <w:p>
      <w:pPr>
        <w:pStyle w:val="TextBody"/>
        <w:bidi w:val="0"/>
        <w:spacing w:before="180" w:after="283"/>
        <w:jc w:val="left"/>
        <w:rPr>
          <w:rFonts w:ascii="Times New Roman" w:hAnsi="Times New Roman"/>
          <w:sz w:val="20"/>
        </w:rPr>
      </w:pPr>
      <w:r>
        <w:rPr>
          <w:rFonts w:ascii="Arial" w:hAnsi="Arial"/>
          <w:color w:val="000000"/>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sale of our Link-16 tactical data link business that was completed in January 2023 for $1.96 billion in cash, as well as divestitures of non-core assets or businesses, such as the divestiture of our energy services system integration business in December 2024.</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may, from time to time, seek to retire, prepay or repurchase our outstanding debt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On May 2, 2025, we redeemed all of Viasat’s remaining 2025 Notes in full. As a result, we recorded a loss of an insignificant amount in (loss) gain on extinguishment of debt in the condensed consolidated statement of operations and comprehensive income (loss) for the three months ended June 30, 2025.</w:t>
      </w:r>
    </w:p>
    <w:p>
      <w:pPr>
        <w:pStyle w:val="TextBody"/>
        <w:bidi w:val="0"/>
        <w:spacing w:before="180" w:after="283"/>
        <w:jc w:val="left"/>
        <w:rPr>
          <w:rFonts w:ascii="Arial" w:hAnsi="Arial"/>
          <w:color w:val="000000"/>
          <w:sz w:val="20"/>
        </w:rPr>
      </w:pPr>
      <w:r>
        <w:rPr>
          <w:rFonts w:ascii="Arial" w:hAnsi="Arial"/>
          <w:color w:val="000000"/>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8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Cash provided by operating activities for the first three months of fiscal year 2026 was $258.5 million compared to $151.1 million in the prior year period. This $107.4 million increase was driven by a $128.3 million year-over-year decrease in cash used to fund net operating assets, partially offset by our operating results (net income (loss) adjusted for depreciation, amortization and other non-cash charges) which resulted in $20.9 million of lower cash provided by operating activities year-over-year. The decrease in cash used to fund net operating assets during the first three months of fiscal year 2026 when compared to the prior year period was primarily due to the timing of payments related to our accrued liabilities. Cash paid for income taxes, net, during the first three months of fiscal year 2026 and 2025 were $34.5 million and $32.4 million, respectively. Cash paid for interest (net of amounts capitalized) during the first three months of fiscal years 2026 and 2025 were $59.3 million and $116.4 million, respectively.</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Cash used in investing activities for the first three months of fiscal year 2026 was approximately $176.0 million compared to $221.5 million in the prior year period. This $45.6 million decrease in cash used in investing activities year-over-year reflected a decrease of $103.0 million in cash used for capital expenditures, partially offset by a $69.5 million decrease in cash receipts related to satellite insurance claim proceeds year-over-year.</w:t>
      </w:r>
    </w:p>
    <w:p>
      <w:pPr>
        <w:pStyle w:val="TextBody"/>
        <w:bidi w:val="0"/>
        <w:spacing w:before="180" w:after="283"/>
        <w:jc w:val="left"/>
        <w:rPr>
          <w:rFonts w:ascii="Times New Roman" w:hAnsi="Times New Roman"/>
          <w:sz w:val="20"/>
        </w:rPr>
      </w:pPr>
      <w:r>
        <w:rPr>
          <w:rFonts w:ascii="Arial" w:hAnsi="Arial"/>
          <w:color w:val="000000"/>
          <w:sz w:val="20"/>
        </w:rPr>
        <w:t>Cash used in financing activities for the first three months of fiscal year 2026 was approximately $513.8 million compared to $22.5 million for the prior year period. This $491.4 million increase in cash used in financing activities year-over-year was primarily due to the redemption of the remaining $442.6 million in principal amount of the 2025 Notes in the first quarter of fiscal year 2026. See Note 6 — Senior Notes and Other Long-Term Debt to our condensed consolidated financial statements for further information.</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Satellite-related activities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complementary fleet of 23 in service or operational satellites spans the Ka-, L- and S- bands, with 13 Ka-band satellites, eight L-band satellites (three of which are contingency L-band satellites that are operational but not currently in commercial service), an S-band satellite that supports the European Aviation Network to provide IFC services to commercial airlines in Europe, and an Inmarsat-6 class hybrid Ka-/L-band satellite (the I-6 F1 satellite). In late July 2024, the ViaSat-3 F1 satellite completed in-orbit testing and was integrated into our existing satellite fleet covering the Americas. In May 2025, two Ka-band highly-elliptical earth orbit satellite payloads (GX10A and GX10B) were put in service to provide polar coverage for government customers, with commercial maritime and aviation services anticipated to follow during the current fiscal year. Furthermore, we have eight additional GEO satellites under development: two additional high-capacity Ka-band GEO satellites (ViaSat-3 F2 and ViaSat-3 F3), three additional adaptive Ka-band GEO satellites (GX7, GX8 and GX9) and three Inmarsat-8 L-band GEO safety service satellites. Our extensive satellite fleet enables us to provide a wide array of high-quality broadband and narrowband services with near global coverage (including strong oceanic coverage) with greater redundancy and resiliency.</w:t>
      </w:r>
    </w:p>
    <w:p>
      <w:pPr>
        <w:pStyle w:val="TextBody"/>
        <w:bidi w:val="0"/>
        <w:spacing w:before="180" w:after="283"/>
        <w:jc w:val="left"/>
        <w:rPr>
          <w:rFonts w:ascii="Arial" w:hAnsi="Arial"/>
          <w:color w:val="000000"/>
          <w:sz w:val="20"/>
        </w:rPr>
      </w:pPr>
      <w:r>
        <w:rPr>
          <w:rFonts w:ascii="Arial" w:hAnsi="Arial"/>
          <w:color w:val="000000"/>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 By leveraging our own satellite fleet and its unique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geostationary orbit and non-geostationary orbit operators, we are well-positioned to support delivery of Viasat’s next-generation services, achieve industry-leading resource utilization, and drive capital efficiency. In parallel, we are working to ensure equitable access to finite space resources and support regulatory certainty enabling multi-orbit solutions and related infrastructure to thrive in a shared and sustainable way.</w:t>
      </w:r>
    </w:p>
    <w:p>
      <w:pPr>
        <w:pStyle w:val="TextBody"/>
        <w:bidi w:val="0"/>
        <w:spacing w:before="180" w:after="283"/>
        <w:jc w:val="left"/>
        <w:rPr>
          <w:rFonts w:ascii="Arial" w:hAnsi="Arial"/>
          <w:color w:val="000000"/>
          <w:sz w:val="20"/>
        </w:rPr>
      </w:pPr>
      <w:r>
        <w:rPr>
          <w:rFonts w:ascii="Arial" w:hAnsi="Arial"/>
          <w:color w:val="000000"/>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included in our Annual Report on Form 10-K for the year ended March 31, 2025 for information regarding our future minimum payments under our satellite construction contracts and other satellite-related purchase commitments (including satellite performance incentive obligations) for the next five fiscal years and thereafter, as well as purchase commitments including satellite-related agreements under the contractual obligations table below.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Long-term debt</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As of June 30, 2025, the aggregate principal amount of our total outstanding indebtedness was $6.7 billion, which was comprised of (1) $600.0 million in aggregate principal amount of Viasat's 5.625% Senior Secured Notes due 2027, $400.0 million in aggregate principal amount of Viasat's 6.500% Senior Notes due 2028, $1.975 billion in aggregate principal amount of Inmarsat's 9.000% Senior Secured Notes due 2029 and $733.4 million in aggregate principal amount of Viasat's 7.500% Senior Notes due 2031, (2) $679.0 million in principal amount of outstanding borrowings under Viasat's $700.0 million senior secured term loan facility (the 2022 Term Loan Facility), $605.9 million in principal amount of outstanding borrowings under Viasat's $616.7 million senior secured term loan facility (the 2023 Term Loan Facility), $1.6 billion in aggregate principal amount of outstanding borrowings under Inmarsat's senior secured term loan facilities (the Inmarsat Term Loan Facilities), no outstanding borrowings under the Revolving Credit Facilities, and $9.8 million in principal amount of outstanding borrowings under Viasat's direct loan facility with the Export-Import Bank of the United States (the Ex-Im Credit Facility), and (3) $154.6 million of finance lease obligations. For information regarding our outstanding indebtedness, refer to Note 6 — Senior Notes and Other Long-Term Debt to our condensed consolidated financial statements.</w:t>
      </w:r>
    </w:p>
    <w:p>
      <w:pPr>
        <w:pStyle w:val="TextBody"/>
        <w:bidi w:val="0"/>
        <w:spacing w:before="280" w:after="283"/>
        <w:jc w:val="left"/>
        <w:rPr>
          <w:rFonts w:ascii="Arial" w:hAnsi="Arial"/>
          <w:b/>
          <w:i/>
          <w:color w:val="000000"/>
          <w:sz w:val="20"/>
        </w:rPr>
      </w:pPr>
      <w:r>
        <w:rPr>
          <w:rFonts w:ascii="Arial" w:hAnsi="Arial"/>
          <w:b/>
          <w:i/>
          <w:color w:val="000000"/>
          <w:sz w:val="20"/>
        </w:rPr>
        <w:t>Capital Expenditures and IR&amp;D Investments</w:t>
      </w:r>
    </w:p>
    <w:p>
      <w:pPr>
        <w:pStyle w:val="TextBody"/>
        <w:bidi w:val="0"/>
        <w:spacing w:before="80" w:after="283"/>
        <w:jc w:val="left"/>
        <w:rPr>
          <w:rFonts w:ascii="Arial" w:hAnsi="Arial"/>
          <w:color w:val="000000"/>
          <w:sz w:val="20"/>
        </w:rPr>
      </w:pPr>
      <w:r>
        <w:rPr>
          <w:rFonts w:ascii="Arial" w:hAnsi="Arial"/>
          <w:color w:val="000000"/>
          <w:sz w:val="20"/>
        </w:rPr>
        <w:t>For a discussion of our capital expenditures and IR&amp;D investments, see Part II, Item 7, “Liquidity and Capital Resources – Capital Expenditures and IR&amp;D Investments” in our Annual Report on Form 10-K for the year ended March 31, 2025 for more information.</w:t>
      </w:r>
    </w:p>
    <w:p>
      <w:pPr>
        <w:pStyle w:val="TextBody"/>
        <w:bidi w:val="0"/>
        <w:spacing w:before="280" w:after="283"/>
        <w:jc w:val="left"/>
        <w:rPr>
          <w:rFonts w:ascii="Times New Roman" w:hAnsi="Times New Roman"/>
          <w:sz w:val="20"/>
        </w:rPr>
      </w:pPr>
      <w:r>
        <w:rPr>
          <w:rFonts w:ascii="Arial" w:hAnsi="Arial"/>
          <w:b/>
          <w:color w:val="000000"/>
          <w:sz w:val="20"/>
        </w:rPr>
        <w:t>Contractual Obligations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following table sets forth a summary of certain material cash requirements for known contractual obligations and commitments at June 30, 2025:</w:t>
      </w:r>
    </w:p>
    <w:p>
      <w:pPr>
        <w:pStyle w:val="TextBody"/>
        <w:bidi w:val="0"/>
        <w:jc w:val="left"/>
        <w:rPr/>
      </w:pPr>
      <w:r>
        <w:rPr/>
        <w:t> </w:t>
      </w:r>
    </w:p>
    <w:tbl>
      <w:tblPr>
        <w:tblW w:w="8732" w:type="dxa"/>
        <w:jc w:val="left"/>
        <w:tblInd w:w="0" w:type="dxa"/>
        <w:tblLayout w:type="fixed"/>
        <w:tblCellMar>
          <w:top w:w="28" w:type="dxa"/>
          <w:left w:w="28" w:type="dxa"/>
          <w:bottom w:w="28" w:type="dxa"/>
          <w:right w:w="28" w:type="dxa"/>
        </w:tblCellMar>
      </w:tblPr>
      <w:tblGrid>
        <w:gridCol w:w="5476"/>
        <w:gridCol w:w="146"/>
        <w:gridCol w:w="243"/>
        <w:gridCol w:w="1107"/>
        <w:gridCol w:w="146"/>
        <w:gridCol w:w="146"/>
        <w:gridCol w:w="211"/>
        <w:gridCol w:w="1066"/>
        <w:gridCol w:w="19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including interest where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Next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Senior notes and other long-term debt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8,550,277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commitments including satellite-related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1,147,018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1,246,605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1,849,857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10,387,235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To the extent that the interest rate on any long-term debt is variable, amounts reflected represent estimated interest payments on the applicable current outstanding balance based on the interest rate at June 30, 2025 until the applicable maturity date.</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pStyle w:val="TextBody"/>
        <w:bidi w:val="0"/>
        <w:spacing w:before="180" w:after="283"/>
        <w:jc w:val="left"/>
        <w:rPr>
          <w:rFonts w:ascii="Arial" w:hAnsi="Arial"/>
          <w:color w:val="000000"/>
          <w:sz w:val="20"/>
        </w:rPr>
      </w:pPr>
      <w:r>
        <w:rPr>
          <w:rFonts w:ascii="Arial" w:hAnsi="Arial"/>
          <w:color w:val="000000"/>
          <w:sz w:val="20"/>
        </w:rPr>
        <w:t>Our condensed consolidated balance sheets included $2.2 billion of “other liabilities” as of both June 30, 2025 and March 31, 2025,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80" w:after="283"/>
        <w:jc w:val="left"/>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We had no material off-balance sheet arrangements at June 30, 2025 as defined in Regulation S-K Item 303(b) other than as discussed under “Contractual Obligations” above or disclosed in the notes to our condensed consolidated financial statements included in this report or in our Annual Report on Form 10-K for the year ended March 31, 2025.</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Recent Authoritative Guidance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For information regarding recently adopted and issued accounting pronouncements, see Note 1 — Basis of Presentation to our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0" w:name="item_3_quantitative_qualitative_disclosu"/>
      <w:bookmarkEnd w:id="10"/>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Our financial instruments consist of cash and cash equivalents, restricted cash, accounts receivable, accounts payable and short-term and long-term obligations (including Viasat’s and Inmarsat’s senior secured credit facilities (collectively, the Credit Facilities) and our senior unsecured and senior secured notes (collectively, the Notes)).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p>
    <w:p>
      <w:pPr>
        <w:pStyle w:val="TextBody"/>
        <w:bidi w:val="0"/>
        <w:spacing w:before="180" w:after="283"/>
        <w:jc w:val="left"/>
        <w:rPr>
          <w:rFonts w:ascii="Arial" w:hAnsi="Arial"/>
          <w:color w:val="000000"/>
          <w:sz w:val="20"/>
        </w:rPr>
      </w:pPr>
      <w:r>
        <w:rPr>
          <w:rFonts w:ascii="Arial" w:hAnsi="Arial"/>
          <w:color w:val="000000"/>
          <w:sz w:val="20"/>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securities and treasuries.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pStyle w:val="TextBody"/>
        <w:bidi w:val="0"/>
        <w:spacing w:before="180" w:after="283"/>
        <w:jc w:val="left"/>
        <w:rPr>
          <w:rFonts w:ascii="Arial" w:hAnsi="Arial"/>
          <w:color w:val="000000"/>
          <w:sz w:val="20"/>
        </w:rPr>
      </w:pPr>
      <w:r>
        <w:rPr>
          <w:rFonts w:ascii="Arial" w:hAnsi="Arial"/>
          <w:color w:val="000000"/>
          <w:sz w:val="20"/>
        </w:rPr>
        <w:t>Our primary interest rate under our variable rate Credit Facilities is the forward-looking term SOFR rate plus an applicable margin. As of June 30, 2025, the effective interest rate on our outstanding borrowings under the 2022 Term Loan Facility was 9.48%, and under the 2023 Term Loan Facility was 9.91%. As of June 30, 2025, the effective interest rate under the Inmarsat Term Loan Facilities was approximately 10.16%. As of June 30, 2025, the effective interest rate that would have been applied to any new SOFR-based borrowings under the Viasat Revolving Credit Facility was approximately 6.87%, and under the Inmarsat Revolving Credit Facility was approximately 7.07%. As of June 30, 2025, we had no outstanding borrowings under our Revolving Credit Facilities. Accordingly, assuming the outstanding balance under the 2022 Term Loan Facility, the 2023 Term Loan Facility and the Inmarsat Term Loan Facilities remained constant over a year and we continued to have no outstanding borrowings under the Revolving Credit Facilities, a 10% increase in the interest rates would increase interest incurred, prior to effects of capitalized interest, by approximately $25.4 million over a 12-month period.</w:t>
      </w:r>
    </w:p>
    <w:p>
      <w:pPr>
        <w:pStyle w:val="TextBody"/>
        <w:bidi w:val="0"/>
        <w:spacing w:before="280" w:after="283"/>
        <w:jc w:val="left"/>
        <w:rPr>
          <w:rFonts w:ascii="Times New Roman" w:hAnsi="Times New Roman"/>
          <w:sz w:val="20"/>
        </w:rPr>
      </w:pPr>
      <w:r>
        <w:rPr>
          <w:rFonts w:ascii="Arial" w:hAnsi="Arial"/>
          <w:b/>
          <w:color w:val="000000"/>
          <w:sz w:val="20"/>
        </w:rPr>
        <w:t>Foreign Exchange Risk</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three months ended June 30, 2025 and 2024.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1" w:name="item_4_controls_procedures"/>
      <w:bookmarkEnd w:id="11"/>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283"/>
        <w:jc w:val="left"/>
        <w:rPr>
          <w:rFonts w:ascii="Arial" w:hAnsi="Arial"/>
          <w:color w:val="000000"/>
          <w:sz w:val="20"/>
        </w:rPr>
      </w:pPr>
      <w:r>
        <w:rPr>
          <w:rFonts w:ascii="Arial" w:hAnsi="Arial"/>
          <w:color w:val="000000"/>
          <w:sz w:val="20"/>
        </w:rPr>
        <w:t>As required by SEC Rule 13a-15(b), we carried out an evaluation, with the participation of our management, including our Chief Executive Officer and Chief Financial Officer, of the effectiveness of our disclosure controls and procedures as of June 30, 2025, the end of the period covered by this report. Based upon the foregoing, our Chief Executive Officer and Chief Financial Officer concluded that our disclosure controls and procedures were effective at a reasonable assurance level as of June 30, 2025.</w:t>
      </w:r>
    </w:p>
    <w:p>
      <w:pPr>
        <w:pStyle w:val="TextBody"/>
        <w:bidi w:val="0"/>
        <w:spacing w:before="180" w:after="283"/>
        <w:jc w:val="left"/>
        <w:rPr>
          <w:rFonts w:ascii="Arial" w:hAnsi="Arial"/>
          <w:color w:val="000000"/>
          <w:sz w:val="20"/>
        </w:rPr>
      </w:pPr>
      <w:r>
        <w:rPr>
          <w:rFonts w:ascii="Arial" w:hAnsi="Arial"/>
          <w:color w:val="000000"/>
          <w:sz w:val="20"/>
        </w:rPr>
        <w:t>During the period covered by this report,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2" w:name="part_ii_or_information"/>
      <w:bookmarkEnd w:id="12"/>
      <w:r>
        <w:rPr>
          <w:rFonts w:ascii="Arial" w:hAnsi="Arial"/>
          <w:b/>
          <w:color w:val="000000"/>
          <w:sz w:val="20"/>
        </w:rPr>
        <w:t>PART II — OTHER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2025.</w:t>
      </w:r>
    </w:p>
    <w:p>
      <w:pPr>
        <w:pStyle w:val="TextBody"/>
        <w:bidi w:val="0"/>
        <w:spacing w:before="280" w:after="283"/>
        <w:jc w:val="left"/>
        <w:rPr>
          <w:rFonts w:ascii="Times New Roman" w:hAnsi="Times New Roman"/>
          <w:sz w:val="20"/>
        </w:rPr>
      </w:pPr>
      <w:bookmarkStart w:id="14" w:name="item_1a_risk_factors"/>
      <w:bookmarkEnd w:id="1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In addition to the other information set forth in this report, you should carefully consider the factors discussed in Part I, Item 1A, “Risk Factors” in our Annual Report on Form 10-K for the fiscal year ended March 31, 2025, which factors could materially affect our business, financial condition, liquidity or future results. There have been no material changes to the risk factors described in the "Risk Factors" section in our Annual Report on Form 10-K for the fiscal year ended March 31, 2025. The risks described in our report on Form 10-K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280" w:after="283"/>
        <w:jc w:val="left"/>
        <w:rPr>
          <w:rFonts w:ascii="Arial" w:hAnsi="Arial"/>
          <w:b/>
          <w:color w:val="000000"/>
          <w:sz w:val="20"/>
        </w:rPr>
      </w:pPr>
      <w:bookmarkStart w:id="15" w:name="item_5_other_information"/>
      <w:bookmarkStart w:id="16" w:name="toc_page"/>
      <w:bookmarkEnd w:id="15"/>
      <w:bookmarkEnd w:id="16"/>
      <w:r>
        <w:rPr>
          <w:rFonts w:ascii="Arial" w:hAnsi="Arial"/>
          <w:b/>
          <w:color w:val="000000"/>
          <w:sz w:val="20"/>
        </w:rPr>
        <w:t>Item 5. Other Information</w:t>
      </w:r>
    </w:p>
    <w:p>
      <w:pPr>
        <w:pStyle w:val="TextBody"/>
        <w:bidi w:val="0"/>
        <w:spacing w:before="80" w:after="283"/>
        <w:jc w:val="left"/>
        <w:rPr>
          <w:rFonts w:ascii="Times New Roman" w:hAnsi="Times New Roman"/>
          <w:sz w:val="20"/>
        </w:rPr>
      </w:pPr>
      <w:r>
        <w:rPr>
          <w:rFonts w:ascii="Arial" w:hAnsi="Arial"/>
          <w:color w:val="000000"/>
          <w:sz w:val="20"/>
        </w:rPr>
        <w:t>During the three months ended June 30, 2025, no director or officer, as defined in Rule 16a-1(f),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any contract, instruction or written plan for the purchase or sale of our securities that was intended to satisfy the affirmative defense conditions of Rule 10b5-1(c)</w:t>
      </w:r>
      <w:r>
        <w:rPr>
          <w:rFonts w:ascii="Times New Roman" w:hAnsi="Times New Roman"/>
          <w:color w:val="000000"/>
          <w:sz w:val="20"/>
        </w:rPr>
        <w:t xml:space="preserve"> </w:t>
      </w:r>
      <w:r>
        <w:rPr>
          <w:rFonts w:ascii="Arial" w:hAnsi="Arial"/>
          <w:color w:val="000000"/>
          <w:sz w:val="20"/>
        </w:rPr>
        <w:t>or any “non Rule 10b5-1</w:t>
      </w:r>
      <w:r>
        <w:rPr>
          <w:rFonts w:ascii="Times New Roman" w:hAnsi="Times New Roman"/>
          <w:color w:val="000000"/>
          <w:sz w:val="20"/>
        </w:rPr>
        <w:t xml:space="preserve"> </w:t>
      </w:r>
      <w:r>
        <w:rPr>
          <w:rFonts w:ascii="Arial" w:hAnsi="Arial"/>
          <w:color w:val="000000"/>
          <w:sz w:val="20"/>
        </w:rPr>
        <w:t>trading arrangement”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Arial" w:hAnsi="Arial"/>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259"/>
        <w:gridCol w:w="4838"/>
        <w:gridCol w:w="146"/>
        <w:gridCol w:w="526"/>
        <w:gridCol w:w="146"/>
        <w:gridCol w:w="726"/>
        <w:gridCol w:w="146"/>
        <w:gridCol w:w="661"/>
        <w:gridCol w:w="146"/>
        <w:gridCol w:w="685"/>
        <w:gridCol w:w="146"/>
        <w:gridCol w:w="963"/>
      </w:tblGrid>
      <w:tr>
        <w:trPr/>
        <w:tc>
          <w:tcPr>
            <w:tcW w:w="81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36" w:type="dxa"/>
            <w:gridSpan w:val="7"/>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17"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25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7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8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 or</w:t>
            </w:r>
          </w:p>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Stockholder Agreement, dated as of May 21, 2025, by and between Viasat, Inc. and Triton LuxTopHolding SARL.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000-21767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05/22/2025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Stockholder Agreement, dated as of May 21, 2025, by and between Viasat, Inc. and CPP Investment Board Private Holdings (4)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000-21767</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05/22/2025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10.3**</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Stockholder Agreement, dated as of May 21, 2025, by and between Viasat, Inc. and Ontario Teachers’ Pension Plan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000-21767</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05/22/2025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10.4**</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Stockholder Agreement, dated as of May 21, 2025, by and between Viasat, Inc. and WP Triton Co-Invest, 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000-21767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05/22/2025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hyperlink w:anchor="vsat-ex31_1.htm">
              <w:r>
                <w:rPr>
                  <w:rStyle w:val="InternetLink"/>
                  <w:rFonts w:ascii="Arial" w:hAnsi="Arial"/>
                  <w:color w:val="0000FF"/>
                  <w:sz w:val="20"/>
                  <w:u w:val="single"/>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31.2</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hyperlink w:anchor="vsat-ex31_2.htm">
              <w:r>
                <w:rPr>
                  <w:rStyle w:val="InternetLink"/>
                  <w:rFonts w:ascii="Arial" w:hAnsi="Arial"/>
                  <w:color w:val="0000FF"/>
                  <w:sz w:val="20"/>
                  <w:u w:val="single"/>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32.1*</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hyperlink w:anchor="vsat-ex32_1.htm">
              <w:r>
                <w:rPr>
                  <w:rStyle w:val="InternetLink"/>
                  <w:rFonts w:ascii="Arial" w:hAnsi="Arial"/>
                  <w:color w:val="0000FF"/>
                  <w:sz w:val="20"/>
                  <w:u w:val="single"/>
                </w:rPr>
                <w:t>Certifications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101.INS</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101.SCH</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20"/>
              </w:rPr>
            </w:pPr>
            <w:r>
              <w:rPr>
                <w:rFonts w:ascii="Arial" w:hAnsi="Arial"/>
                <w:color w:val="000000"/>
                <w:sz w:val="20"/>
              </w:rPr>
              <w:t>104</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25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90" w:after="283"/>
        <w:jc w:val="left"/>
        <w:rPr>
          <w:rFonts w:ascii="Arial" w:hAnsi="Arial"/>
          <w:color w:val="000000"/>
          <w:sz w:val="20"/>
        </w:rPr>
      </w:pPr>
      <w:r>
        <w:rPr>
          <w:rFonts w:ascii="Arial" w:hAnsi="Arial"/>
          <w:color w:val="000000"/>
          <w:sz w:val="20"/>
        </w:rPr>
        <w:t>* 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90" w:after="283"/>
        <w:jc w:val="left"/>
        <w:rPr>
          <w:rFonts w:ascii="Arial" w:hAnsi="Arial"/>
          <w:color w:val="000000"/>
          <w:sz w:val="20"/>
        </w:rPr>
      </w:pPr>
      <w:r>
        <w:rPr>
          <w:rFonts w:ascii="Arial" w:hAnsi="Arial"/>
          <w:color w:val="000000"/>
          <w:sz w:val="20"/>
        </w:rPr>
        <w:t>** Certain schedules to this Exhibit are omitted pursuant to Regulation S-K Item 601(b)(2) or 601(a)(5) (as applicable). Viasat agrees to furnish a supplemental copy of any omitted schedule to the SEC upon request; provided, however, that Viasat may request confidential treatment pursuant to Rule 24b-2 of the Exchange Act for any document so furnished.</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s"/>
      <w:bookmarkEnd w:id="18"/>
      <w:r>
        <w:rPr>
          <w:rFonts w:ascii="Arial" w:hAnsi="Arial"/>
          <w:b/>
          <w:color w:val="000000"/>
          <w:sz w:val="20"/>
        </w:rPr>
        <w:t>SIGNATURES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1441"/>
        <w:gridCol w:w="146"/>
        <w:gridCol w:w="4606"/>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 xml:space="preserve">ARK </w:t>
            </w:r>
            <w:r>
              <w:rPr>
                <w:rFonts w:ascii="Arial" w:hAnsi="Arial"/>
                <w:color w:val="000000"/>
                <w:sz w:val="20"/>
              </w:rPr>
              <w:t>D</w:t>
            </w:r>
            <w:r>
              <w:rPr>
                <w:rFonts w:ascii="Arial" w:hAnsi="Arial"/>
                <w:color w:val="000000"/>
                <w:sz w:val="16"/>
              </w:rPr>
              <w:t>ANKBERG</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Chairman of the Board and Chief Executive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and Chief Financial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6"/>
              </w:rPr>
              <w:t>HAWN</w:t>
            </w:r>
            <w:r>
              <w:rPr>
                <w:rFonts w:ascii="Times New Roman" w:hAnsi="Times New Roman"/>
                <w:color w:val="000000"/>
                <w:sz w:val="20"/>
              </w:rPr>
              <w:t> </w:t>
            </w:r>
            <w:r>
              <w:rPr>
                <w:rFonts w:ascii="Arial" w:hAnsi="Arial"/>
                <w:color w:val="000000"/>
                <w:sz w:val="20"/>
              </w:rPr>
              <w:t>D</w:t>
            </w:r>
            <w:r>
              <w:rPr>
                <w:rFonts w:ascii="Arial" w:hAnsi="Arial"/>
                <w:color w:val="000000"/>
                <w:sz w:val="16"/>
              </w:rPr>
              <w:t>UFFY</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Shawn Duffy</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and Chief Accounting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bookmarkStart w:id="19" w:name="vsat-ex31_1.htm"/>
      <w:bookmarkStart w:id="20" w:name="ksvsatex31_1"/>
      <w:bookmarkEnd w:id="19"/>
      <w:bookmarkEnd w:id="20"/>
      <w:r>
        <w:rPr/>
        <w:t> </w:t>
      </w:r>
      <w:r>
        <w:br w:type="page"/>
      </w:r>
    </w:p>
    <w:p>
      <w:pPr>
        <w:pStyle w:val="TextBody"/>
        <w:bidi w:val="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Mark Dankberg, Chief Executive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288" w:type="dxa"/>
        <w:jc w:val="left"/>
        <w:tblInd w:w="0" w:type="dxa"/>
        <w:tblLayout w:type="fixed"/>
        <w:tblCellMar>
          <w:top w:w="28" w:type="dxa"/>
          <w:left w:w="28" w:type="dxa"/>
          <w:bottom w:w="28" w:type="dxa"/>
          <w:right w:w="28" w:type="dxa"/>
        </w:tblCellMar>
      </w:tblPr>
      <w:tblGrid>
        <w:gridCol w:w="1966"/>
        <w:gridCol w:w="14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smallCaps/>
                <w:color w:val="000000"/>
                <w:sz w:val="16"/>
              </w:rPr>
              <w:t>ARK</w:t>
            </w:r>
            <w:r>
              <w:rPr>
                <w:rFonts w:ascii="Times New Roman" w:hAnsi="Times New Roman"/>
                <w:smallCaps/>
                <w:color w:val="000000"/>
                <w:sz w:val="20"/>
              </w:rPr>
              <w:t> </w:t>
            </w:r>
            <w:r>
              <w:rPr>
                <w:rFonts w:ascii="Arial" w:hAnsi="Arial"/>
                <w:smallCaps/>
                <w:color w:val="000000"/>
                <w:sz w:val="20"/>
              </w:rPr>
              <w:t>Dankber</w:t>
            </w:r>
            <w:r>
              <w:rPr>
                <w:rFonts w:ascii="Arial" w:hAnsi="Arial"/>
                <w:smallCaps/>
                <w:color w:val="000000"/>
                <w:sz w:val="16"/>
              </w:rPr>
              <w:t>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vsat-ex31_2.htm"/>
      <w:bookmarkStart w:id="22" w:name="ksvsatex31_2"/>
      <w:bookmarkEnd w:id="21"/>
      <w:bookmarkEnd w:id="22"/>
      <w:r>
        <w:rPr/>
        <w:t> </w:t>
      </w:r>
      <w:r>
        <w:br w:type="page"/>
      </w:r>
    </w:p>
    <w:p>
      <w:pPr>
        <w:pStyle w:val="TextBody"/>
        <w:bidi w:val="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FINANCIAL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Garrett Chase, Chief Financial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quarterly report on Form 10-Q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198" w:type="dxa"/>
        <w:jc w:val="left"/>
        <w:tblInd w:w="0" w:type="dxa"/>
        <w:tblLayout w:type="fixed"/>
        <w:tblCellMar>
          <w:top w:w="28" w:type="dxa"/>
          <w:left w:w="28" w:type="dxa"/>
          <w:bottom w:w="28" w:type="dxa"/>
          <w:right w:w="28" w:type="dxa"/>
        </w:tblCellMar>
      </w:tblPr>
      <w:tblGrid>
        <w:gridCol w:w="1966"/>
        <w:gridCol w:w="14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vsat-ex32_1.htm"/>
      <w:bookmarkStart w:id="24" w:name="ksvsatex32_1"/>
      <w:bookmarkEnd w:id="23"/>
      <w:bookmarkEnd w:id="24"/>
      <w:r>
        <w:rPr/>
        <w:t> </w:t>
      </w:r>
      <w:r>
        <w:br w:type="page"/>
      </w:r>
    </w:p>
    <w:p>
      <w:pPr>
        <w:pStyle w:val="TextBody"/>
        <w:bidi w:val="0"/>
        <w:jc w:val="right"/>
        <w:rPr>
          <w:rFonts w:ascii="Times New Roman" w:hAnsi="Times New Roman"/>
          <w:sz w:val="20"/>
        </w:rPr>
      </w:pPr>
      <w:r>
        <w:rPr>
          <w:rFonts w:ascii="Arial" w:hAnsi="Arial"/>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June 30, 2025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288" w:type="dxa"/>
        <w:jc w:val="left"/>
        <w:tblInd w:w="0" w:type="dxa"/>
        <w:tblLayout w:type="fixed"/>
        <w:tblCellMar>
          <w:top w:w="28" w:type="dxa"/>
          <w:left w:w="28" w:type="dxa"/>
          <w:bottom w:w="28" w:type="dxa"/>
          <w:right w:w="28" w:type="dxa"/>
        </w:tblCellMar>
      </w:tblPr>
      <w:tblGrid>
        <w:gridCol w:w="1966"/>
        <w:gridCol w:w="14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M</w:t>
            </w:r>
            <w:r>
              <w:rPr>
                <w:rFonts w:ascii="Arial" w:hAnsi="Arial"/>
                <w:color w:val="000000"/>
                <w:sz w:val="16"/>
              </w:rPr>
              <w:t>ARK</w:t>
            </w:r>
            <w:r>
              <w:rPr>
                <w:rFonts w:ascii="Times New Roman" w:hAnsi="Times New Roman"/>
                <w:color w:val="000000"/>
                <w:sz w:val="20"/>
              </w:rPr>
              <w:t> </w:t>
            </w:r>
            <w:r>
              <w:rPr>
                <w:rFonts w:ascii="Arial" w:hAnsi="Arial"/>
                <w:color w:val="000000"/>
                <w:sz w:val="20"/>
              </w:rPr>
              <w:t>D</w:t>
            </w:r>
            <w:r>
              <w:rPr>
                <w:rFonts w:ascii="Arial" w:hAnsi="Arial"/>
                <w:color w:val="000000"/>
                <w:sz w:val="16"/>
              </w:rPr>
              <w:t>ANKBERG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w:hAnsi="Arial"/>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the accompanying quarterly report on Form 10-Q of the Company for the quarterly period ended June 30, 2025 (the “Report”) fully complies with the requirements of Section 13(a) or Section 15(d), as applicable, of the Securities Exchange Act of 1934, as amended;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198" w:type="dxa"/>
        <w:jc w:val="left"/>
        <w:tblInd w:w="0" w:type="dxa"/>
        <w:tblLayout w:type="fixed"/>
        <w:tblCellMar>
          <w:top w:w="28" w:type="dxa"/>
          <w:left w:w="28" w:type="dxa"/>
          <w:bottom w:w="28" w:type="dxa"/>
          <w:right w:w="28" w:type="dxa"/>
        </w:tblCellMar>
      </w:tblPr>
      <w:tblGrid>
        <w:gridCol w:w="1966"/>
        <w:gridCol w:w="14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G</w:t>
            </w:r>
            <w:r>
              <w:rPr>
                <w:rFonts w:ascii="Arial" w:hAnsi="Arial"/>
                <w:color w:val="000000"/>
                <w:sz w:val="16"/>
              </w:rPr>
              <w:t>ARRETT</w:t>
            </w:r>
            <w:r>
              <w:rPr>
                <w:rFonts w:ascii="Times New Roman" w:hAnsi="Times New Roman"/>
                <w:color w:val="000000"/>
                <w:sz w:val="20"/>
              </w:rPr>
              <w:t> </w:t>
            </w:r>
            <w:r>
              <w:rPr>
                <w:rFonts w:ascii="Arial" w:hAnsi="Arial"/>
                <w:color w:val="000000"/>
                <w:sz w:val="20"/>
              </w:rPr>
              <w:t>C</w:t>
            </w:r>
            <w:r>
              <w:rPr>
                <w:rFonts w:ascii="Arial" w:hAnsi="Arial"/>
                <w:color w:val="000000"/>
                <w:sz w:val="16"/>
              </w:rPr>
              <w:t>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119312525125076/d946665dex101.htm" TargetMode="External"/><Relationship Id="rId4" Type="http://schemas.openxmlformats.org/officeDocument/2006/relationships/hyperlink" Target="https://www.sec.gov/Archives/edgar/data/797721/000119312525125076/d946665dex102.htm" TargetMode="External"/><Relationship Id="rId5" Type="http://schemas.openxmlformats.org/officeDocument/2006/relationships/hyperlink" Target="https://www.sec.gov/Archives/edgar/data/797721/000119312525125076/d946665dex103.htm" TargetMode="External"/><Relationship Id="rId6" Type="http://schemas.openxmlformats.org/officeDocument/2006/relationships/hyperlink" Target="https://www.sec.gov/Archives/edgar/data/797721/000119312525125076/d946665dex10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32543</Words>
  <Characters>184517</Characters>
  <CharactersWithSpaces>218205</CharactersWithSpaces>
  <Paragraphs>5053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