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38100</wp:posOffset>
            </wp:positionV>
            <wp:extent cx="1165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65405</wp:posOffset>
            </wp:positionV>
            <wp:extent cx="1165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 w:lineRule="exact"/>
        <w:rPr>
          <w:sz w:val="24"/>
          <w:szCs w:val="24"/>
          <w:color w:val="auto"/>
        </w:rPr>
      </w:pPr>
    </w:p>
    <w:p>
      <w:pPr>
        <w:ind w:left="4160" w:right="3180" w:hanging="4152"/>
        <w:spacing w:after="0" w:line="278" w:lineRule="auto"/>
        <w:tabs>
          <w:tab w:leader="none" w:pos="51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March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30"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3700" w:type="dxa"/>
        <w:tblCellMar>
          <w:top w:w="0" w:type="dxa"/>
          <w:left w:w="0" w:type="dxa"/>
          <w:bottom w:w="0" w:type="dxa"/>
          <w:right w:w="0" w:type="dxa"/>
        </w:tblCellMar>
      </w:tblPr>
      <w:tr>
        <w:trPr>
          <w:trHeight w:val="172"/>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For the transition period from</w:t>
            </w: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5"/>
                <w:szCs w:val="15"/>
                <w:b w:val="1"/>
                <w:bCs w:val="1"/>
                <w:color w:val="auto"/>
              </w:rPr>
              <w:t>to</w:t>
            </w:r>
          </w:p>
        </w:tc>
        <w:tc>
          <w:tcPr>
            <w:tcW w:w="68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203"/>
        </w:trPr>
        <w:tc>
          <w:tcPr>
            <w:tcW w:w="2860" w:type="dxa"/>
            <w:vAlign w:val="bottom"/>
            <w:gridSpan w:val="4"/>
          </w:tcPr>
          <w:p>
            <w:pPr>
              <w:ind w:left="600"/>
              <w:spacing w:after="0"/>
              <w:rPr>
                <w:sz w:val="20"/>
                <w:szCs w:val="20"/>
                <w:color w:val="auto"/>
              </w:rPr>
            </w:pPr>
            <w:r>
              <w:rPr>
                <w:rFonts w:ascii="Arial" w:cs="Arial" w:eastAsia="Arial" w:hAnsi="Arial"/>
                <w:sz w:val="15"/>
                <w:szCs w:val="15"/>
                <w:b w:val="1"/>
                <w:bCs w:val="1"/>
                <w:color w:val="auto"/>
              </w:rPr>
              <w:t>Commission file number (000-</w:t>
            </w:r>
          </w:p>
        </w:tc>
        <w:tc>
          <w:tcPr>
            <w:tcW w:w="9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w w:val="81"/>
              </w:rPr>
              <w:t>21767)</w:t>
            </w:r>
          </w:p>
        </w:tc>
        <w:tc>
          <w:tcPr>
            <w:tcW w:w="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25400</wp:posOffset>
            </wp:positionV>
            <wp:extent cx="10972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445"/>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5"/>
          </w:tcPr>
          <w:p>
            <w:pPr>
              <w:jc w:val="center"/>
              <w:ind w:right="400"/>
              <w:spacing w:after="0"/>
              <w:rPr>
                <w:sz w:val="20"/>
                <w:szCs w:val="20"/>
                <w:color w:val="auto"/>
              </w:rPr>
            </w:pPr>
            <w:r>
              <w:rPr>
                <w:rFonts w:ascii="Arial" w:cs="Arial" w:eastAsia="Arial" w:hAnsi="Arial"/>
                <w:sz w:val="36"/>
                <w:szCs w:val="36"/>
                <w:b w:val="1"/>
                <w:bCs w:val="1"/>
                <w:color w:val="auto"/>
                <w:w w:val="97"/>
              </w:rPr>
              <w:t>VIASAT,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gridSpan w:val="6"/>
          </w:tcPr>
          <w:p>
            <w:pPr>
              <w:jc w:val="center"/>
              <w:ind w:right="260"/>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480" w:type="dxa"/>
            <w:vAlign w:val="bottom"/>
            <w:vMerge w:val="restart"/>
          </w:tcPr>
          <w:p>
            <w:pPr>
              <w:jc w:val="center"/>
              <w:ind w:left="1969"/>
              <w:spacing w:after="0"/>
              <w:rPr>
                <w:sz w:val="20"/>
                <w:szCs w:val="20"/>
                <w:color w:val="auto"/>
              </w:rPr>
            </w:pPr>
            <w:r>
              <w:rPr>
                <w:rFonts w:ascii="Arial" w:cs="Arial" w:eastAsia="Arial" w:hAnsi="Arial"/>
                <w:sz w:val="15"/>
                <w:szCs w:val="15"/>
                <w:b w:val="1"/>
                <w:bCs w:val="1"/>
                <w:color w:val="auto"/>
              </w:rPr>
              <w:t>Delaware</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40" w:type="dxa"/>
            <w:vAlign w:val="bottom"/>
            <w:vMerge w:val="restart"/>
          </w:tcPr>
          <w:p>
            <w:pPr>
              <w:jc w:val="center"/>
              <w:ind w:right="1989"/>
              <w:spacing w:after="0"/>
              <w:rPr>
                <w:sz w:val="20"/>
                <w:szCs w:val="20"/>
                <w:color w:val="auto"/>
              </w:rPr>
            </w:pPr>
            <w:r>
              <w:rPr>
                <w:rFonts w:ascii="Arial" w:cs="Arial" w:eastAsia="Arial" w:hAnsi="Arial"/>
                <w:sz w:val="15"/>
                <w:szCs w:val="15"/>
                <w:b w:val="1"/>
                <w:bCs w:val="1"/>
                <w:color w:val="auto"/>
              </w:rPr>
              <w:t>33-0174996</w:t>
            </w:r>
          </w:p>
        </w:tc>
        <w:tc>
          <w:tcPr>
            <w:tcW w:w="0" w:type="dxa"/>
            <w:vAlign w:val="bottom"/>
          </w:tcPr>
          <w:p>
            <w:pPr>
              <w:spacing w:after="0"/>
              <w:rPr>
                <w:sz w:val="1"/>
                <w:szCs w:val="1"/>
                <w:color w:val="auto"/>
              </w:rPr>
            </w:pPr>
          </w:p>
        </w:tc>
      </w:tr>
      <w:tr>
        <w:trPr>
          <w:trHeight w:val="206"/>
        </w:trPr>
        <w:tc>
          <w:tcPr>
            <w:tcW w:w="3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800" w:type="dxa"/>
            <w:vAlign w:val="bottom"/>
            <w:gridSpan w:val="8"/>
          </w:tcPr>
          <w:p>
            <w:pPr>
              <w:jc w:val="center"/>
              <w:ind w:right="2280"/>
              <w:spacing w:after="0"/>
              <w:rPr>
                <w:sz w:val="20"/>
                <w:szCs w:val="20"/>
                <w:color w:val="auto"/>
              </w:rPr>
            </w:pPr>
            <w:r>
              <w:rPr>
                <w:rFonts w:ascii="Arial" w:cs="Arial" w:eastAsia="Arial" w:hAnsi="Arial"/>
                <w:sz w:val="13"/>
                <w:szCs w:val="13"/>
                <w:b w:val="1"/>
                <w:bCs w:val="1"/>
                <w:color w:val="auto"/>
              </w:rPr>
              <w:t>(State or other jurisdiction of</w:t>
            </w:r>
          </w:p>
        </w:tc>
        <w:tc>
          <w:tcPr>
            <w:tcW w:w="3440" w:type="dxa"/>
            <w:vAlign w:val="bottom"/>
          </w:tcPr>
          <w:p>
            <w:pPr>
              <w:jc w:val="center"/>
              <w:ind w:right="1969"/>
              <w:spacing w:after="0"/>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7800" w:type="dxa"/>
            <w:vAlign w:val="bottom"/>
            <w:gridSpan w:val="8"/>
          </w:tcPr>
          <w:p>
            <w:pPr>
              <w:jc w:val="center"/>
              <w:ind w:right="2280"/>
              <w:spacing w:after="0"/>
              <w:rPr>
                <w:sz w:val="20"/>
                <w:szCs w:val="20"/>
                <w:color w:val="auto"/>
              </w:rPr>
            </w:pPr>
            <w:r>
              <w:rPr>
                <w:rFonts w:ascii="Arial" w:cs="Arial" w:eastAsia="Arial" w:hAnsi="Arial"/>
                <w:sz w:val="13"/>
                <w:szCs w:val="13"/>
                <w:b w:val="1"/>
                <w:bCs w:val="1"/>
                <w:color w:val="auto"/>
              </w:rPr>
              <w:t>incorporation or organization)</w:t>
            </w:r>
          </w:p>
        </w:tc>
        <w:tc>
          <w:tcPr>
            <w:tcW w:w="3440" w:type="dxa"/>
            <w:vAlign w:val="bottom"/>
          </w:tcPr>
          <w:p>
            <w:pPr>
              <w:jc w:val="center"/>
              <w:ind w:right="1989"/>
              <w:spacing w:after="0"/>
              <w:rPr>
                <w:sz w:val="20"/>
                <w:szCs w:val="20"/>
                <w:color w:val="auto"/>
              </w:rPr>
            </w:pPr>
            <w:r>
              <w:rPr>
                <w:rFonts w:ascii="Arial" w:cs="Arial" w:eastAsia="Arial" w:hAnsi="Arial"/>
                <w:sz w:val="13"/>
                <w:szCs w:val="13"/>
                <w:b w:val="1"/>
                <w:bCs w:val="1"/>
                <w:color w:val="auto"/>
              </w:rPr>
              <w:t>Identification No.)</w:t>
            </w:r>
          </w:p>
        </w:tc>
        <w:tc>
          <w:tcPr>
            <w:tcW w:w="0" w:type="dxa"/>
            <w:vAlign w:val="bottom"/>
          </w:tcPr>
          <w:p>
            <w:pPr>
              <w:spacing w:after="0"/>
              <w:rPr>
                <w:sz w:val="1"/>
                <w:szCs w:val="1"/>
                <w:color w:val="auto"/>
              </w:rPr>
            </w:pPr>
          </w:p>
        </w:tc>
      </w:tr>
      <w:tr>
        <w:trPr>
          <w:trHeight w:val="168"/>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00" w:type="dxa"/>
            <w:vAlign w:val="bottom"/>
            <w:gridSpan w:val="4"/>
          </w:tcPr>
          <w:p>
            <w:pPr>
              <w:jc w:val="center"/>
              <w:ind w:right="1240"/>
              <w:spacing w:after="0" w:line="168" w:lineRule="exact"/>
              <w:rPr>
                <w:sz w:val="20"/>
                <w:szCs w:val="20"/>
                <w:color w:val="auto"/>
              </w:rPr>
            </w:pPr>
            <w:r>
              <w:rPr>
                <w:rFonts w:ascii="Arial" w:cs="Arial" w:eastAsia="Arial" w:hAnsi="Arial"/>
                <w:sz w:val="15"/>
                <w:szCs w:val="15"/>
                <w:b w:val="1"/>
                <w:bCs w:val="1"/>
                <w:color w:val="auto"/>
              </w:rPr>
              <w:t>6155 El Camino Real</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40" w:type="dxa"/>
            <w:vAlign w:val="bottom"/>
            <w:gridSpan w:val="5"/>
          </w:tcPr>
          <w:p>
            <w:pPr>
              <w:jc w:val="center"/>
              <w:ind w:right="420"/>
              <w:spacing w:after="0" w:line="162" w:lineRule="exact"/>
              <w:rPr>
                <w:sz w:val="20"/>
                <w:szCs w:val="20"/>
                <w:color w:val="auto"/>
              </w:rPr>
            </w:pPr>
            <w:r>
              <w:rPr>
                <w:rFonts w:ascii="Arial" w:cs="Arial" w:eastAsia="Arial" w:hAnsi="Arial"/>
                <w:sz w:val="15"/>
                <w:szCs w:val="15"/>
                <w:b w:val="1"/>
                <w:bCs w:val="1"/>
                <w:color w:val="auto"/>
              </w:rPr>
              <w:t>Carlsbad, California 92009</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80" w:type="dxa"/>
            <w:vAlign w:val="bottom"/>
          </w:tcPr>
          <w:p>
            <w:pPr>
              <w:spacing w:after="0"/>
              <w:rPr>
                <w:sz w:val="14"/>
                <w:szCs w:val="14"/>
                <w:color w:val="auto"/>
              </w:rPr>
            </w:pPr>
          </w:p>
        </w:tc>
        <w:tc>
          <w:tcPr>
            <w:tcW w:w="3060" w:type="dxa"/>
            <w:vAlign w:val="bottom"/>
            <w:gridSpan w:val="4"/>
          </w:tcPr>
          <w:p>
            <w:pPr>
              <w:jc w:val="center"/>
              <w:ind w:left="1147"/>
              <w:spacing w:after="0" w:line="167" w:lineRule="exact"/>
              <w:rPr>
                <w:sz w:val="20"/>
                <w:szCs w:val="20"/>
                <w:color w:val="auto"/>
              </w:rPr>
            </w:pPr>
            <w:r>
              <w:rPr>
                <w:rFonts w:ascii="Arial" w:cs="Arial" w:eastAsia="Arial" w:hAnsi="Arial"/>
                <w:sz w:val="15"/>
                <w:szCs w:val="15"/>
                <w:b w:val="1"/>
                <w:bCs w:val="1"/>
                <w:color w:val="auto"/>
              </w:rPr>
              <w:t>(760) 476-2200</w:t>
            </w: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432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rPr>
              <w:t>(Address of principal executive offices and telephone number)</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80" w:type="dxa"/>
            <w:vAlign w:val="bottom"/>
          </w:tcPr>
          <w:p>
            <w:pPr>
              <w:spacing w:after="0"/>
              <w:rPr>
                <w:sz w:val="18"/>
                <w:szCs w:val="18"/>
                <w:color w:val="auto"/>
              </w:rPr>
            </w:pPr>
          </w:p>
        </w:tc>
        <w:tc>
          <w:tcPr>
            <w:tcW w:w="4320" w:type="dxa"/>
            <w:vAlign w:val="bottom"/>
            <w:gridSpan w:val="7"/>
          </w:tcPr>
          <w:p>
            <w:pPr>
              <w:jc w:val="center"/>
              <w:ind w:right="4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3480" w:type="dxa"/>
            <w:vAlign w:val="bottom"/>
          </w:tcPr>
          <w:p>
            <w:pPr>
              <w:jc w:val="center"/>
              <w:ind w:left="149"/>
              <w:spacing w:after="0"/>
              <w:rPr>
                <w:sz w:val="20"/>
                <w:szCs w:val="20"/>
                <w:color w:val="auto"/>
              </w:rPr>
            </w:pPr>
            <w:r>
              <w:rPr>
                <w:rFonts w:ascii="Arial" w:cs="Arial" w:eastAsia="Arial" w:hAnsi="Arial"/>
                <w:sz w:val="13"/>
                <w:szCs w:val="13"/>
                <w:b w:val="1"/>
                <w:bCs w:val="1"/>
                <w:color w:val="auto"/>
              </w:rPr>
              <w:t>(Title of Each Class)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00" w:type="dxa"/>
            <w:vAlign w:val="bottom"/>
            <w:gridSpan w:val="4"/>
          </w:tcPr>
          <w:p>
            <w:pPr>
              <w:jc w:val="center"/>
              <w:ind w:right="1120"/>
              <w:spacing w:after="0"/>
              <w:rPr>
                <w:sz w:val="20"/>
                <w:szCs w:val="20"/>
                <w:color w:val="auto"/>
              </w:rPr>
            </w:pPr>
            <w:r>
              <w:rPr>
                <w:rFonts w:ascii="Arial" w:cs="Arial" w:eastAsia="Arial" w:hAnsi="Arial"/>
                <w:sz w:val="13"/>
                <w:szCs w:val="13"/>
                <w:b w:val="1"/>
                <w:bCs w:val="1"/>
                <w:color w:val="auto"/>
              </w:rPr>
              <w:t>(Trading Symbol)</w:t>
            </w:r>
          </w:p>
        </w:tc>
        <w:tc>
          <w:tcPr>
            <w:tcW w:w="3440" w:type="dxa"/>
            <w:vAlign w:val="bottom"/>
          </w:tcPr>
          <w:p>
            <w:pPr>
              <w:jc w:val="center"/>
              <w:ind w:right="149"/>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480" w:type="dxa"/>
            <w:vAlign w:val="bottom"/>
            <w:tcBorders>
              <w:top w:val="single" w:sz="8" w:color="auto"/>
            </w:tcBorders>
          </w:tcPr>
          <w:p>
            <w:pPr>
              <w:jc w:val="center"/>
              <w:ind w:left="149"/>
              <w:spacing w:after="0"/>
              <w:rPr>
                <w:sz w:val="20"/>
                <w:szCs w:val="20"/>
                <w:color w:val="auto"/>
              </w:rPr>
            </w:pPr>
            <w:r>
              <w:rPr>
                <w:rFonts w:ascii="Arial" w:cs="Arial" w:eastAsia="Arial" w:hAnsi="Arial"/>
                <w:sz w:val="15"/>
                <w:szCs w:val="15"/>
                <w:b w:val="1"/>
                <w:bCs w:val="1"/>
                <w:color w:val="auto"/>
              </w:rPr>
              <w:t>Common Stock, par value $0.0001 per share</w:t>
            </w: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gridSpan w:val="2"/>
          </w:tcPr>
          <w:p>
            <w:pPr>
              <w:jc w:val="center"/>
              <w:ind w:right="840"/>
              <w:spacing w:after="0"/>
              <w:rPr>
                <w:sz w:val="20"/>
                <w:szCs w:val="20"/>
                <w:color w:val="auto"/>
              </w:rPr>
            </w:pPr>
            <w:r>
              <w:rPr>
                <w:rFonts w:ascii="Arial" w:cs="Arial" w:eastAsia="Arial" w:hAnsi="Arial"/>
                <w:sz w:val="15"/>
                <w:szCs w:val="15"/>
                <w:b w:val="1"/>
                <w:bCs w:val="1"/>
                <w:color w:val="auto"/>
                <w:w w:val="94"/>
              </w:rPr>
              <w:t>VSAT</w:t>
            </w: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jc w:val="center"/>
              <w:ind w:right="169"/>
              <w:spacing w:after="0"/>
              <w:rPr>
                <w:sz w:val="20"/>
                <w:szCs w:val="20"/>
                <w:color w:val="auto"/>
              </w:rPr>
            </w:pPr>
            <w:r>
              <w:rPr>
                <w:rFonts w:ascii="Arial" w:cs="Arial" w:eastAsia="Arial" w:hAnsi="Arial"/>
                <w:sz w:val="15"/>
                <w:szCs w:val="15"/>
                <w:b w:val="1"/>
                <w:bCs w:val="1"/>
                <w:color w:val="auto"/>
              </w:rPr>
              <w:t>The Nasdaq Stock Market LLC</w:t>
            </w:r>
          </w:p>
        </w:tc>
        <w:tc>
          <w:tcPr>
            <w:tcW w:w="0" w:type="dxa"/>
            <w:vAlign w:val="bottom"/>
          </w:tcPr>
          <w:p>
            <w:pPr>
              <w:spacing w:after="0"/>
              <w:rPr>
                <w:sz w:val="1"/>
                <w:szCs w:val="1"/>
                <w:color w:val="auto"/>
              </w:rPr>
            </w:pPr>
          </w:p>
        </w:tc>
      </w:tr>
    </w:tbl>
    <w:p>
      <w:pPr>
        <w:spacing w:after="0" w:line="2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8" w:lineRule="exact"/>
        <w:rPr>
          <w:sz w:val="24"/>
          <w:szCs w:val="24"/>
          <w:color w:val="auto"/>
        </w:rPr>
      </w:pPr>
    </w:p>
    <w:p>
      <w:pPr>
        <w:ind w:left="544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29845</wp:posOffset>
            </wp:positionV>
            <wp:extent cx="1165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1" w:lineRule="exact"/>
        <w:rPr>
          <w:sz w:val="24"/>
          <w:szCs w:val="24"/>
          <w:color w:val="auto"/>
        </w:rPr>
      </w:pPr>
    </w:p>
    <w:p>
      <w:pPr>
        <w:ind w:left="380"/>
        <w:spacing w:after="0" w:line="173" w:lineRule="exact"/>
        <w:tabs>
          <w:tab w:leader="none" w:pos="898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of 1933.</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67" w:lineRule="exact"/>
        <w:rPr>
          <w:sz w:val="24"/>
          <w:szCs w:val="24"/>
          <w:color w:val="auto"/>
        </w:rPr>
      </w:pPr>
    </w:p>
    <w:p>
      <w:pPr>
        <w:ind w:left="380"/>
        <w:spacing w:after="0" w:line="173" w:lineRule="exact"/>
        <w:tabs>
          <w:tab w:leader="none" w:pos="996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Securities Exchange Act of 1934.</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59" w:lineRule="exact"/>
        <w:rPr>
          <w:sz w:val="24"/>
          <w:szCs w:val="24"/>
          <w:color w:val="auto"/>
        </w:rPr>
      </w:pPr>
    </w:p>
    <w:p>
      <w:pPr>
        <w:ind w:right="180" w:firstLine="374"/>
        <w:spacing w:after="0" w:line="23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173" w:lineRule="exact"/>
        <w:tabs>
          <w:tab w:leader="none" w:pos="1060" w:val="left"/>
        </w:tabs>
        <w:rPr>
          <w:sz w:val="20"/>
          <w:szCs w:val="20"/>
          <w:color w:val="auto"/>
        </w:rPr>
      </w:pPr>
      <w:r>
        <w:rPr>
          <w:rFonts w:ascii="Arial" w:cs="Arial" w:eastAsia="Arial" w:hAnsi="Arial"/>
          <w:sz w:val="15"/>
          <w:szCs w:val="15"/>
          <w:color w:val="auto"/>
        </w:rPr>
        <w:t>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47" w:lineRule="exact"/>
        <w:rPr>
          <w:sz w:val="24"/>
          <w:szCs w:val="24"/>
          <w:color w:val="auto"/>
        </w:rPr>
      </w:pPr>
    </w:p>
    <w:p>
      <w:pPr>
        <w:ind w:right="700" w:firstLine="374"/>
        <w:spacing w:after="0" w:line="23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tabs>
          <w:tab w:leader="none" w:pos="520" w:val="left"/>
        </w:tabs>
        <w:rPr>
          <w:sz w:val="20"/>
          <w:szCs w:val="20"/>
          <w:color w:val="auto"/>
        </w:rPr>
      </w:pPr>
      <w:r>
        <w:rPr>
          <w:rFonts w:ascii="Arial" w:cs="Arial" w:eastAsia="Arial" w:hAnsi="Arial"/>
          <w:sz w:val="15"/>
          <w:szCs w:val="15"/>
          <w:color w:val="auto"/>
        </w:rPr>
        <w:t>files).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47" w:lineRule="exact"/>
        <w:rPr>
          <w:sz w:val="24"/>
          <w:szCs w:val="24"/>
          <w:color w:val="auto"/>
        </w:rPr>
      </w:pPr>
    </w:p>
    <w:p>
      <w:pPr>
        <w:jc w:val="both"/>
        <w:ind w:right="600" w:firstLine="374"/>
        <w:spacing w:after="0" w:line="23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4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20" w:type="dxa"/>
            <w:vAlign w:val="bottom"/>
          </w:tcPr>
          <w:p>
            <w:pPr>
              <w:ind w:left="920"/>
              <w:spacing w:after="0" w:line="151"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460"/>
              <w:spacing w:after="0"/>
              <w:rPr>
                <w:sz w:val="20"/>
                <w:szCs w:val="20"/>
                <w:color w:val="auto"/>
              </w:rPr>
            </w:pPr>
            <w:r>
              <w:rPr>
                <w:rFonts w:ascii="Arial" w:cs="Arial" w:eastAsia="Arial" w:hAnsi="Arial"/>
                <w:sz w:val="15"/>
                <w:szCs w:val="15"/>
                <w:color w:val="auto"/>
              </w:rPr>
              <w:t>Accelerated filer</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9"/>
        </w:trPr>
        <w:tc>
          <w:tcPr>
            <w:tcW w:w="24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20" w:type="dxa"/>
            <w:vAlign w:val="bottom"/>
          </w:tcPr>
          <w:p>
            <w:pPr>
              <w:ind w:left="920"/>
              <w:spacing w:after="0" w:line="151" w:lineRule="exact"/>
              <w:rPr>
                <w:sz w:val="20"/>
                <w:szCs w:val="20"/>
                <w:color w:val="auto"/>
              </w:rPr>
            </w:pPr>
            <w:r>
              <w:rPr>
                <w:rFonts w:ascii="MS PGothic" w:cs="MS PGothic" w:eastAsia="MS PGothic" w:hAnsi="MS PGothic"/>
                <w:sz w:val="15"/>
                <w:szCs w:val="15"/>
                <w:color w:val="auto"/>
              </w:rPr>
              <w:t>☐</w:t>
            </w:r>
          </w:p>
        </w:tc>
        <w:tc>
          <w:tcPr>
            <w:tcW w:w="4500" w:type="dxa"/>
            <w:vAlign w:val="bottom"/>
          </w:tcPr>
          <w:p>
            <w:pPr>
              <w:ind w:left="2460"/>
              <w:spacing w:after="0"/>
              <w:rPr>
                <w:sz w:val="20"/>
                <w:szCs w:val="20"/>
                <w:color w:val="auto"/>
              </w:rPr>
            </w:pPr>
            <w:r>
              <w:rPr>
                <w:rFonts w:ascii="Arial" w:cs="Arial" w:eastAsia="Arial" w:hAnsi="Arial"/>
                <w:sz w:val="15"/>
                <w:szCs w:val="15"/>
                <w:color w:val="auto"/>
              </w:rPr>
              <w:t>Smaller reporting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500" w:type="dxa"/>
            <w:vAlign w:val="bottom"/>
          </w:tcPr>
          <w:p>
            <w:pPr>
              <w:ind w:left="2460"/>
              <w:spacing w:after="0"/>
              <w:rPr>
                <w:sz w:val="20"/>
                <w:szCs w:val="20"/>
                <w:color w:val="auto"/>
              </w:rPr>
            </w:pPr>
            <w:r>
              <w:rPr>
                <w:rFonts w:ascii="Arial" w:cs="Arial" w:eastAsia="Arial" w:hAnsi="Arial"/>
                <w:sz w:val="15"/>
                <w:szCs w:val="15"/>
                <w:color w:val="auto"/>
              </w:rPr>
              <w:t>Emerging growth company</w:t>
            </w:r>
          </w:p>
        </w:tc>
        <w:tc>
          <w:tcPr>
            <w:tcW w:w="340" w:type="dxa"/>
            <w:vAlign w:val="bottom"/>
          </w:tcPr>
          <w:p>
            <w:pPr>
              <w:ind w:left="20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6" w:lineRule="exact"/>
        <w:rPr>
          <w:sz w:val="24"/>
          <w:szCs w:val="24"/>
          <w:color w:val="auto"/>
        </w:rPr>
      </w:pPr>
    </w:p>
    <w:p>
      <w:pPr>
        <w:ind w:right="380" w:firstLine="374"/>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 w:lineRule="exact"/>
        <w:rPr>
          <w:sz w:val="24"/>
          <w:szCs w:val="24"/>
          <w:color w:val="auto"/>
        </w:rPr>
      </w:pPr>
    </w:p>
    <w:p>
      <w:pPr>
        <w:ind w:right="120" w:firstLine="374"/>
        <w:spacing w:after="0" w:line="232"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report. </w:t>
      </w:r>
      <w:r>
        <w:rPr>
          <w:rFonts w:ascii="MS PGothic" w:cs="MS PGothic" w:eastAsia="MS PGothic" w:hAnsi="MS PGothic"/>
          <w:sz w:val="15"/>
          <w:szCs w:val="15"/>
          <w:color w:val="auto"/>
        </w:rPr>
        <w:t>☒</w:t>
      </w:r>
    </w:p>
    <w:p>
      <w:pPr>
        <w:spacing w:after="0" w:line="31" w:lineRule="exact"/>
        <w:rPr>
          <w:sz w:val="24"/>
          <w:szCs w:val="24"/>
          <w:color w:val="auto"/>
        </w:rPr>
      </w:pPr>
    </w:p>
    <w:p>
      <w:pPr>
        <w:ind w:left="380"/>
        <w:spacing w:after="0" w:line="173" w:lineRule="exact"/>
        <w:tabs>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73" w:lineRule="exact"/>
        <w:rPr>
          <w:sz w:val="24"/>
          <w:szCs w:val="24"/>
          <w:color w:val="auto"/>
        </w:rPr>
      </w:pPr>
    </w:p>
    <w:p>
      <w:pPr>
        <w:ind w:firstLine="374"/>
        <w:spacing w:after="0" w:line="242" w:lineRule="auto"/>
        <w:rPr>
          <w:sz w:val="20"/>
          <w:szCs w:val="20"/>
          <w:color w:val="auto"/>
        </w:rPr>
      </w:pPr>
      <w:r>
        <w:rPr>
          <w:rFonts w:ascii="Arial" w:cs="Arial" w:eastAsia="Arial" w:hAnsi="Arial"/>
          <w:sz w:val="15"/>
          <w:szCs w:val="15"/>
          <w:color w:val="auto"/>
        </w:rPr>
        <w:t>The aggregate market value of the common stock held by non-affiliates of the registrant as of September 30, 2020 was approximately $2,223,902,302 (based on the closing price on that date for shares of the registrant’s common stock as reported by the Nasdaq Global Select Market).</w:t>
      </w:r>
    </w:p>
    <w:p>
      <w:pPr>
        <w:spacing w:after="0" w:line="3" w:lineRule="exact"/>
        <w:rPr>
          <w:sz w:val="24"/>
          <w:szCs w:val="24"/>
          <w:color w:val="auto"/>
        </w:rPr>
      </w:pPr>
    </w:p>
    <w:p>
      <w:pPr>
        <w:ind w:left="380"/>
        <w:spacing w:after="0"/>
        <w:rPr>
          <w:sz w:val="20"/>
          <w:szCs w:val="20"/>
          <w:color w:val="auto"/>
        </w:rPr>
      </w:pPr>
      <w:r>
        <w:rPr>
          <w:rFonts w:ascii="Arial" w:cs="Arial" w:eastAsia="Arial" w:hAnsi="Arial"/>
          <w:sz w:val="15"/>
          <w:szCs w:val="15"/>
          <w:color w:val="auto"/>
        </w:rPr>
        <w:t>The number of shares outstanding of the registrant’s common stock, $0.0001 par value, as of May 14, 2021 was 72,529,686.</w:t>
      </w:r>
    </w:p>
    <w:p>
      <w:pPr>
        <w:spacing w:after="0" w:line="12" w:lineRule="exact"/>
        <w:rPr>
          <w:sz w:val="24"/>
          <w:szCs w:val="24"/>
          <w:color w:val="auto"/>
        </w:rPr>
      </w:pPr>
    </w:p>
    <w:p>
      <w:pPr>
        <w:ind w:left="40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49530</wp:posOffset>
            </wp:positionV>
            <wp:extent cx="1165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85" w:lineRule="exact"/>
        <w:rPr>
          <w:sz w:val="24"/>
          <w:szCs w:val="24"/>
          <w:color w:val="auto"/>
        </w:rPr>
      </w:pPr>
    </w:p>
    <w:p>
      <w:pPr>
        <w:ind w:left="380"/>
        <w:spacing w:after="0"/>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in connection with its</w:t>
      </w:r>
    </w:p>
    <w:p>
      <w:pPr>
        <w:ind w:right="560"/>
        <w:spacing w:after="0" w:line="242" w:lineRule="auto"/>
        <w:rPr>
          <w:sz w:val="20"/>
          <w:szCs w:val="20"/>
          <w:color w:val="auto"/>
        </w:rPr>
      </w:pPr>
      <w:r>
        <w:rPr>
          <w:rFonts w:ascii="Arial" w:cs="Arial" w:eastAsia="Arial" w:hAnsi="Arial"/>
          <w:sz w:val="15"/>
          <w:szCs w:val="15"/>
          <w:color w:val="auto"/>
        </w:rPr>
        <w:t>2021 Annual Meeting of Stockholders are incorporated by reference into Part III of this Form 10-K where indicated. Such Proxy Statement will be filed with the Securities and Exchange Commission not later than 120 days after the registrant’s fiscal year ended March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514350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 w:name="page2"/>
    <w:bookmarkEnd w:id="1"/>
    <w:p>
      <w:pPr>
        <w:jc w:val="center"/>
        <w:ind w:left="1120"/>
        <w:spacing w:after="0"/>
        <w:rPr>
          <w:sz w:val="20"/>
          <w:szCs w:val="20"/>
          <w:color w:val="auto"/>
        </w:rPr>
      </w:pPr>
      <w:r>
        <w:rPr>
          <w:rFonts w:ascii="Arial" w:cs="Arial" w:eastAsia="Arial" w:hAnsi="Arial"/>
          <w:sz w:val="18"/>
          <w:szCs w:val="18"/>
          <w:b w:val="1"/>
          <w:bCs w:val="1"/>
          <w:color w:val="auto"/>
        </w:rPr>
        <w:t>VIASAT, INC.</w:t>
      </w:r>
    </w:p>
    <w:p>
      <w:pPr>
        <w:spacing w:after="0" w:line="49"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2"/>
          </w:tcPr>
          <w:p>
            <w:pPr>
              <w:ind w:left="206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r>
      <w:tr>
        <w:trPr>
          <w:trHeight w:val="183"/>
        </w:trPr>
        <w:tc>
          <w:tcPr>
            <w:tcW w:w="126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74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Business</w:t>
              </w:r>
            </w:hyperlink>
          </w:p>
        </w:tc>
        <w:tc>
          <w:tcPr>
            <w:tcW w:w="3580" w:type="dxa"/>
            <w:vAlign w:val="bottom"/>
            <w:gridSpan w:val="6"/>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4900" w:type="dxa"/>
            <w:vAlign w:val="bottom"/>
            <w:gridSpan w:val="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r>
      <w:tr>
        <w:trPr>
          <w:trHeight w:val="20"/>
        </w:trPr>
        <w:tc>
          <w:tcPr>
            <w:tcW w:w="1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26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Unresolved Staff Comments</w:t>
              </w:r>
            </w:hyperlink>
          </w:p>
        </w:tc>
        <w:tc>
          <w:tcPr>
            <w:tcW w:w="2640" w:type="dxa"/>
            <w:vAlign w:val="bottom"/>
            <w:gridSpan w:val="2"/>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900" w:type="dxa"/>
            <w:vAlign w:val="bottom"/>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Properties</w:t>
              </w:r>
            </w:hyperlink>
          </w:p>
        </w:tc>
      </w:tr>
      <w:tr>
        <w:trPr>
          <w:trHeight w:val="20"/>
        </w:trPr>
        <w:tc>
          <w:tcPr>
            <w:tcW w:w="126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Legal Proceedings</w:t>
              </w:r>
            </w:hyperlink>
          </w:p>
        </w:tc>
        <w:tc>
          <w:tcPr>
            <w:tcW w:w="3400" w:type="dxa"/>
            <w:vAlign w:val="bottom"/>
            <w:gridSpan w:val="4"/>
          </w:tcPr>
          <w:p>
            <w:pPr>
              <w:spacing w:after="0"/>
              <w:rPr>
                <w:sz w:val="17"/>
                <w:szCs w:val="17"/>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Mine Safety Disclosures</w:t>
              </w:r>
            </w:hyperlink>
          </w:p>
        </w:tc>
        <w:tc>
          <w:tcPr>
            <w:tcW w:w="2960" w:type="dxa"/>
            <w:vAlign w:val="bottom"/>
            <w:gridSpan w:val="3"/>
          </w:tcPr>
          <w:p>
            <w:pPr>
              <w:spacing w:after="0"/>
              <w:rPr>
                <w:sz w:val="17"/>
                <w:szCs w:val="17"/>
                <w:color w:val="auto"/>
              </w:rPr>
            </w:pPr>
          </w:p>
        </w:tc>
      </w:tr>
    </w:tbl>
    <w:p>
      <w:pPr>
        <w:spacing w:after="0" w:line="126" w:lineRule="exact"/>
        <w:rPr>
          <w:sz w:val="20"/>
          <w:szCs w:val="20"/>
          <w:color w:val="auto"/>
        </w:rPr>
      </w:pPr>
    </w:p>
    <w:p>
      <w:pPr>
        <w:ind w:left="556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PART II</w:t>
        </w:r>
      </w:hyperlink>
    </w:p>
    <w:p>
      <w:pPr>
        <w:spacing w:after="0" w:line="18"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5.</w:t>
      </w:r>
      <w:r>
        <w:rPr>
          <w:sz w:val="20"/>
          <w:szCs w:val="20"/>
          <w:color w:val="auto"/>
        </w:rPr>
        <w:tab/>
      </w:r>
      <w:hyperlink w:anchor="page40">
        <w:r>
          <w:rPr>
            <w:rFonts w:ascii="Arial" w:cs="Arial" w:eastAsia="Arial" w:hAnsi="Arial"/>
            <w:sz w:val="17"/>
            <w:szCs w:val="17"/>
            <w:u w:val="single" w:color="auto"/>
            <w:color w:val="0000EE"/>
          </w:rPr>
          <w:t>Market for Registrant’s Common Equity, Related Stockholder Matters and Issuer Purchases of Equity Securities</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6.</w:t>
      </w:r>
      <w:r>
        <w:rPr>
          <w:sz w:val="20"/>
          <w:szCs w:val="20"/>
          <w:color w:val="auto"/>
        </w:rPr>
        <w:tab/>
      </w:r>
      <w:hyperlink w:anchor="page40">
        <w:r>
          <w:rPr>
            <w:rFonts w:ascii="Arial" w:cs="Arial" w:eastAsia="Arial" w:hAnsi="Arial"/>
            <w:sz w:val="17"/>
            <w:szCs w:val="17"/>
            <w:u w:val="single" w:color="auto"/>
            <w:color w:val="0000EE"/>
          </w:rPr>
          <w:t>Selected Financial Data</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7.</w:t>
      </w:r>
      <w:r>
        <w:rPr>
          <w:sz w:val="20"/>
          <w:szCs w:val="20"/>
          <w:color w:val="auto"/>
        </w:rPr>
        <w:tab/>
      </w:r>
      <w:hyperlink w:anchor="page41">
        <w:r>
          <w:rPr>
            <w:rFonts w:ascii="Arial" w:cs="Arial" w:eastAsia="Arial" w:hAnsi="Arial"/>
            <w:sz w:val="17"/>
            <w:szCs w:val="17"/>
            <w:u w:val="single" w:color="auto"/>
            <w:color w:val="0000EE"/>
          </w:rPr>
          <w:t>Management’s Discussion and Analysis of Financial Condition and Results of Operations</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7A.</w:t>
      </w:r>
      <w:r>
        <w:rPr>
          <w:sz w:val="20"/>
          <w:szCs w:val="20"/>
          <w:color w:val="auto"/>
        </w:rPr>
        <w:tab/>
      </w:r>
      <w:hyperlink w:anchor="page57">
        <w:r>
          <w:rPr>
            <w:rFonts w:ascii="Arial" w:cs="Arial" w:eastAsia="Arial" w:hAnsi="Arial"/>
            <w:sz w:val="18"/>
            <w:szCs w:val="18"/>
            <w:u w:val="single" w:color="auto"/>
            <w:color w:val="0000EE"/>
          </w:rPr>
          <w:t>Quantitative and Qualitative Disclosures About Market Risk</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8.</w:t>
      </w:r>
      <w:r>
        <w:rPr>
          <w:sz w:val="20"/>
          <w:szCs w:val="20"/>
          <w:color w:val="auto"/>
        </w:rPr>
        <w:tab/>
      </w:r>
      <w:hyperlink w:anchor="page57">
        <w:r>
          <w:rPr>
            <w:rFonts w:ascii="Arial" w:cs="Arial" w:eastAsia="Arial" w:hAnsi="Arial"/>
            <w:sz w:val="17"/>
            <w:szCs w:val="17"/>
            <w:u w:val="single" w:color="auto"/>
            <w:color w:val="0000EE"/>
          </w:rPr>
          <w:t>Financial Statements and Supplementary Data</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9.</w:t>
      </w:r>
      <w:r>
        <w:rPr>
          <w:sz w:val="20"/>
          <w:szCs w:val="20"/>
          <w:color w:val="auto"/>
        </w:rPr>
        <w:tab/>
      </w:r>
      <w:hyperlink w:anchor="page58">
        <w:r>
          <w:rPr>
            <w:rFonts w:ascii="Arial" w:cs="Arial" w:eastAsia="Arial" w:hAnsi="Arial"/>
            <w:sz w:val="18"/>
            <w:szCs w:val="18"/>
            <w:u w:val="single" w:color="auto"/>
            <w:color w:val="0000EE"/>
          </w:rPr>
          <w:t>Changes in and Disagreements with Accountants on Accounting and Financial Disclosure</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9A.</w:t>
      </w:r>
      <w:r>
        <w:rPr>
          <w:sz w:val="20"/>
          <w:szCs w:val="20"/>
          <w:color w:val="auto"/>
        </w:rPr>
        <w:tab/>
      </w:r>
      <w:hyperlink w:anchor="page58">
        <w:r>
          <w:rPr>
            <w:rFonts w:ascii="Arial" w:cs="Arial" w:eastAsia="Arial" w:hAnsi="Arial"/>
            <w:sz w:val="18"/>
            <w:szCs w:val="18"/>
            <w:u w:val="single" w:color="auto"/>
            <w:color w:val="0000EE"/>
          </w:rPr>
          <w:t>Controls and Procedures</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9B.</w:t>
      </w:r>
      <w:r>
        <w:rPr>
          <w:sz w:val="20"/>
          <w:szCs w:val="20"/>
          <w:color w:val="auto"/>
        </w:rPr>
        <w:tab/>
      </w:r>
      <w:hyperlink w:anchor="page58">
        <w:r>
          <w:rPr>
            <w:rFonts w:ascii="Arial" w:cs="Arial" w:eastAsia="Arial" w:hAnsi="Arial"/>
            <w:sz w:val="17"/>
            <w:szCs w:val="17"/>
            <w:u w:val="single" w:color="auto"/>
            <w:color w:val="0000EE"/>
          </w:rPr>
          <w:t>Other Information</w:t>
        </w:r>
      </w:hyperlink>
    </w:p>
    <w:p>
      <w:pPr>
        <w:spacing w:after="0" w:line="109" w:lineRule="exact"/>
        <w:rPr>
          <w:sz w:val="20"/>
          <w:szCs w:val="20"/>
          <w:color w:val="auto"/>
        </w:rPr>
      </w:pPr>
    </w:p>
    <w:p>
      <w:pPr>
        <w:ind w:left="5520"/>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PART III</w:t>
        </w:r>
      </w:hyperlink>
    </w:p>
    <w:p>
      <w:pPr>
        <w:spacing w:after="0" w:line="18"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10.</w:t>
      </w:r>
      <w:r>
        <w:rPr>
          <w:sz w:val="20"/>
          <w:szCs w:val="20"/>
          <w:color w:val="auto"/>
        </w:rPr>
        <w:tab/>
      </w:r>
      <w:hyperlink w:anchor="page59">
        <w:r>
          <w:rPr>
            <w:rFonts w:ascii="Arial" w:cs="Arial" w:eastAsia="Arial" w:hAnsi="Arial"/>
            <w:sz w:val="17"/>
            <w:szCs w:val="17"/>
            <w:u w:val="single" w:color="auto"/>
            <w:color w:val="0000EE"/>
          </w:rPr>
          <w:t>Directors, Executive Officers and Corporate Governance</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11.</w:t>
      </w:r>
      <w:r>
        <w:rPr>
          <w:sz w:val="20"/>
          <w:szCs w:val="20"/>
          <w:color w:val="auto"/>
        </w:rPr>
        <w:tab/>
      </w:r>
      <w:hyperlink w:anchor="page59">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12.</w:t>
      </w:r>
      <w:r>
        <w:rPr>
          <w:sz w:val="20"/>
          <w:szCs w:val="20"/>
          <w:color w:val="auto"/>
        </w:rPr>
        <w:tab/>
      </w:r>
      <w:hyperlink w:anchor="page59">
        <w:r>
          <w:rPr>
            <w:rFonts w:ascii="Arial" w:cs="Arial" w:eastAsia="Arial" w:hAnsi="Arial"/>
            <w:sz w:val="18"/>
            <w:szCs w:val="18"/>
            <w:u w:val="single" w:color="auto"/>
            <w:color w:val="0000EE"/>
          </w:rPr>
          <w:t>Security Ownership of Certain Beneficial Owners and Management and Related Stockholder Matters</w:t>
        </w:r>
      </w:hyperlink>
    </w:p>
    <w:p>
      <w:pPr>
        <w:spacing w:after="0" w:line="9" w:lineRule="exact"/>
        <w:rPr>
          <w:sz w:val="20"/>
          <w:szCs w:val="20"/>
          <w:color w:val="auto"/>
        </w:rPr>
      </w:pPr>
    </w:p>
    <w:p>
      <w:pPr>
        <w:spacing w:after="0"/>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Item 13.</w:t>
      </w:r>
      <w:r>
        <w:rPr>
          <w:sz w:val="20"/>
          <w:szCs w:val="20"/>
          <w:color w:val="auto"/>
        </w:rPr>
        <w:tab/>
      </w:r>
      <w:hyperlink w:anchor="page59">
        <w:r>
          <w:rPr>
            <w:rFonts w:ascii="Arial" w:cs="Arial" w:eastAsia="Arial" w:hAnsi="Arial"/>
            <w:sz w:val="17"/>
            <w:szCs w:val="17"/>
            <w:u w:val="single" w:color="auto"/>
            <w:color w:val="0000EE"/>
          </w:rPr>
          <w:t>Certain Relationships and Related Transactions, and Director Independence</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14.</w:t>
      </w:r>
      <w:r>
        <w:rPr>
          <w:sz w:val="20"/>
          <w:szCs w:val="20"/>
          <w:color w:val="auto"/>
        </w:rPr>
        <w:tab/>
      </w:r>
      <w:hyperlink w:anchor="page59">
        <w:r>
          <w:rPr>
            <w:rFonts w:ascii="Arial" w:cs="Arial" w:eastAsia="Arial" w:hAnsi="Arial"/>
            <w:sz w:val="18"/>
            <w:szCs w:val="18"/>
            <w:u w:val="single" w:color="auto"/>
            <w:color w:val="0000EE"/>
          </w:rPr>
          <w:t>Principal Accounting Fees and Services</w:t>
        </w:r>
      </w:hyperlink>
    </w:p>
    <w:p>
      <w:pPr>
        <w:spacing w:after="0" w:line="109" w:lineRule="exact"/>
        <w:rPr>
          <w:sz w:val="20"/>
          <w:szCs w:val="20"/>
          <w:color w:val="auto"/>
        </w:rPr>
      </w:pPr>
    </w:p>
    <w:p>
      <w:pPr>
        <w:ind w:left="5520"/>
        <w:spacing w:after="0"/>
        <w:rPr>
          <w:rFonts w:ascii="Arial" w:cs="Arial" w:eastAsia="Arial" w:hAnsi="Arial"/>
          <w:sz w:val="18"/>
          <w:szCs w:val="18"/>
          <w:b w:val="1"/>
          <w:bCs w:val="1"/>
          <w:u w:val="single" w:color="auto"/>
          <w:color w:val="0000EE"/>
        </w:rPr>
      </w:pPr>
      <w:hyperlink w:anchor="page60">
        <w:r>
          <w:rPr>
            <w:rFonts w:ascii="Arial" w:cs="Arial" w:eastAsia="Arial" w:hAnsi="Arial"/>
            <w:sz w:val="18"/>
            <w:szCs w:val="18"/>
            <w:b w:val="1"/>
            <w:bCs w:val="1"/>
            <w:u w:val="single" w:color="auto"/>
            <w:color w:val="0000EE"/>
          </w:rPr>
          <w:t>PART IV</w:t>
        </w:r>
      </w:hyperlink>
    </w:p>
    <w:p>
      <w:pPr>
        <w:spacing w:after="0" w:line="18"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15.</w:t>
      </w:r>
      <w:r>
        <w:rPr>
          <w:sz w:val="20"/>
          <w:szCs w:val="20"/>
          <w:color w:val="auto"/>
        </w:rPr>
        <w:tab/>
      </w:r>
      <w:hyperlink w:anchor="page60">
        <w:r>
          <w:rPr>
            <w:rFonts w:ascii="Arial" w:cs="Arial" w:eastAsia="Arial" w:hAnsi="Arial"/>
            <w:sz w:val="18"/>
            <w:szCs w:val="18"/>
            <w:u w:val="single" w:color="auto"/>
            <w:color w:val="0000EE"/>
          </w:rPr>
          <w:t>Exhibits, Financial Statement Schedules</w:t>
        </w:r>
      </w:hyperlink>
    </w:p>
    <w:p>
      <w:pPr>
        <w:spacing w:after="0" w:line="9" w:lineRule="exact"/>
        <w:rPr>
          <w:sz w:val="20"/>
          <w:szCs w:val="20"/>
          <w:color w:val="auto"/>
        </w:rPr>
      </w:pPr>
    </w:p>
    <w:p>
      <w:pPr>
        <w:spacing w:after="0"/>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Item 16.</w:t>
      </w:r>
      <w:r>
        <w:rPr>
          <w:sz w:val="20"/>
          <w:szCs w:val="20"/>
          <w:color w:val="auto"/>
        </w:rPr>
        <w:tab/>
      </w:r>
      <w:hyperlink w:anchor="page63">
        <w:r>
          <w:rPr>
            <w:rFonts w:ascii="Arial" w:cs="Arial" w:eastAsia="Arial" w:hAnsi="Arial"/>
            <w:sz w:val="18"/>
            <w:szCs w:val="18"/>
            <w:u w:val="single" w:color="auto"/>
            <w:color w:val="0000EE"/>
          </w:rPr>
          <w:t>Form 10-K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Signatures</w:t>
        </w:r>
      </w:hyperlink>
    </w:p>
    <w:p>
      <w:pPr>
        <w:spacing w:after="0" w:line="200" w:lineRule="exact"/>
        <w:rPr>
          <w:sz w:val="20"/>
          <w:szCs w:val="20"/>
          <w:color w:val="auto"/>
        </w:rPr>
      </w:pPr>
    </w:p>
    <w:p>
      <w:pPr>
        <w:spacing w:after="0" w:line="268" w:lineRule="exact"/>
        <w:rPr>
          <w:sz w:val="20"/>
          <w:szCs w:val="20"/>
          <w:color w:val="auto"/>
        </w:rPr>
      </w:pPr>
    </w:p>
    <w:p>
      <w:pPr>
        <w:jc w:val="center"/>
        <w:ind w:left="1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8890</wp:posOffset>
            </wp:positionV>
            <wp:extent cx="420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ectPr>
          <w:pgSz w:w="11900" w:h="16838" w:orient="portrait"/>
          <w:cols w:equalWidth="0" w:num="2">
            <w:col w:w="10140" w:space="600"/>
            <w:col w:w="500"/>
          </w:cols>
          <w:pgMar w:left="320" w:top="11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the impact of the novel coronavirus (COVID-19) pandemic on our business; our expectations regarding an end to the pandemic and a lessening of its effects on our business, including expectations for increased airline passenger traffic and in-flight connectivity (IFC) growth;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the impact of the COVID-19 pandemic on our business, suppliers, consumers, customers, and employees or the overall economy; our ability to realize the anticipated benefits of our acquisitions or strategic partnering arrangements, including the RigNet, Inc. (RigNet) and Euro Broadband Infrastructure Sàrl (Euro Infrastructure Co.) acquisitions;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right="300" w:firstLine="510"/>
        <w:spacing w:after="0" w:line="261" w:lineRule="auto"/>
        <w:rPr>
          <w:sz w:val="20"/>
          <w:szCs w:val="20"/>
          <w:color w:val="auto"/>
        </w:rPr>
      </w:pPr>
      <w:r>
        <w:rPr>
          <w:rFonts w:ascii="Arial" w:cs="Arial" w:eastAsia="Arial" w:hAnsi="Arial"/>
          <w:sz w:val="17"/>
          <w:szCs w:val="17"/>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7"/>
          <w:szCs w:val="17"/>
          <w:i w:val="1"/>
          <w:iCs w:val="1"/>
          <w:color w:val="auto"/>
        </w:rPr>
        <w:t>www.viasat.com.</w:t>
      </w:r>
      <w:r>
        <w:rPr>
          <w:rFonts w:ascii="Arial" w:cs="Arial" w:eastAsia="Arial" w:hAnsi="Arial"/>
          <w:sz w:val="17"/>
          <w:szCs w:val="17"/>
          <w:color w:val="auto"/>
        </w:rPr>
        <w:t xml:space="preserve"> The information on our website does not constitute part of this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Transactions</w:t>
      </w:r>
    </w:p>
    <w:p>
      <w:pPr>
        <w:spacing w:after="0" w:line="85"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On April 30, 2021, subsequent to fiscal year end, we purchased the remaining 51% interest in Euro Infrastructure Co. from Eutelsat for €142.6 million, or approximately $172.7 million (subject to customary post-closing net working capital and net debt adjustments). The purchase price was funded with available cash, resulting in a cash outlay of approximately €41.6 million, or $ 50.4 million, net of approximately €101.0 million, or $122.3 million, of Euro Infrastructure Co.’s cash on hand. This acquisition is expected to provide a foundation for further growth and investment in the European region, in addition to Africa and the Middle East.</w:t>
      </w:r>
    </w:p>
    <w:p>
      <w:pPr>
        <w:spacing w:after="0" w:line="148" w:lineRule="exact"/>
        <w:rPr>
          <w:sz w:val="20"/>
          <w:szCs w:val="20"/>
          <w:color w:val="auto"/>
        </w:rPr>
      </w:pPr>
    </w:p>
    <w:p>
      <w:pPr>
        <w:jc w:val="both"/>
        <w:ind w:firstLine="510"/>
        <w:spacing w:after="0" w:line="238" w:lineRule="auto"/>
        <w:rPr>
          <w:sz w:val="20"/>
          <w:szCs w:val="20"/>
          <w:color w:val="auto"/>
        </w:rPr>
      </w:pPr>
      <w:r>
        <w:rPr>
          <w:rFonts w:ascii="Arial" w:cs="Arial" w:eastAsia="Arial" w:hAnsi="Arial"/>
          <w:sz w:val="18"/>
          <w:szCs w:val="18"/>
          <w:color w:val="auto"/>
        </w:rPr>
        <w:t>On April 30, 2021, subsequent to fiscal year end, we acquired RigNet in exchange for the issuance of approximately 4.0 million shares of our common stock and a de minimis amount of cash in respect of fractional shares. RigNet is a leading provider of ultra-secure, intelligent networking solutions and specialized applications, and the acquisition is expected to enable us to further expand into new global markets and adjacent industries, including renewable energies, transportation, maritime, mining and other enterprise markets.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85" w:lineRule="exact"/>
        <w:rPr>
          <w:sz w:val="20"/>
          <w:szCs w:val="20"/>
          <w:color w:val="auto"/>
        </w:rPr>
      </w:pPr>
    </w:p>
    <w:p>
      <w:pPr>
        <w:ind w:right="420" w:firstLine="510"/>
        <w:spacing w:after="0" w:line="246"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w:t>
      </w:r>
    </w:p>
    <w:p>
      <w:pPr>
        <w:spacing w:after="0" w:line="143"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Our proprietary Ka-band satellites are at the core of our technology platform, and we also have access to a number of Ka-band and Ku-band satellites in service globally. We own three Ka-band satellites in service over North America: our second-generation ViaSat-2 satellite (launched in 2017), our first-generation ViaSat-1 satellite (launched in 2011) and the WildBlue-1 satellite (launched in 2007), and, after acquiring the remaining interest in Euro Infrastructure Co. subsequent to the fiscal year end, we also own the KA-SAT satellite over Europe, Middle East and Africa (EMEA). In addition, we have lifetime leases of Ka-band capacity on two satellites—one over North America and a second one over EMEA. We also have a global constellation of three third-generation ViaSat-3 class satellites under construction. We expect our ViaSat-3 constellation, once in service, to provide approximately eight times the capacity of our own satellite fleet in-service today, and to enable us to deliver affordable connectivity across most of the world. As of March 31, 2021, we provided fixed broadband services to approximately 590,000 U.S. subscribers, as well as broadband connectivity (through fixed broadband services or Community Internet hotspots) to tens of thousands of international sites.</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45" w:lineRule="exact"/>
        <w:rPr>
          <w:sz w:val="20"/>
          <w:szCs w:val="20"/>
          <w:color w:val="auto"/>
        </w:rPr>
      </w:pPr>
    </w:p>
    <w:p>
      <w:pPr>
        <w:ind w:left="1000" w:right="180" w:hanging="493"/>
        <w:spacing w:after="0" w:line="245"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Fixed Broadband Services</w:t>
      </w:r>
      <w:r>
        <w:rPr>
          <w:rFonts w:ascii="Arial" w:cs="Arial" w:eastAsia="Arial" w:hAnsi="Arial"/>
          <w:sz w:val="18"/>
          <w:szCs w:val="18"/>
          <w:color w:val="auto"/>
        </w:rPr>
        <w:t>, which provide consumers and businesses with high-speed, high-quality broadband internet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and Voice over Internet Protocol (VoIP) services, primarily in the United States as well as in various countries in Europe and Latin America. Our service offerings include premium data plans with download speeds up to 100 Mbps in select areas in the United States. We also offer wholesale and retail fixed broadband services to our distribution partners.</w:t>
      </w:r>
    </w:p>
    <w:p>
      <w:pPr>
        <w:spacing w:after="0" w:line="32" w:lineRule="exact"/>
        <w:rPr>
          <w:rFonts w:ascii="Arial" w:cs="Arial" w:eastAsia="Arial" w:hAnsi="Arial"/>
          <w:sz w:val="18"/>
          <w:szCs w:val="18"/>
          <w:color w:val="auto"/>
        </w:rPr>
      </w:pPr>
    </w:p>
    <w:p>
      <w:pPr>
        <w:ind w:left="1000" w:right="6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In-Flight Services</w:t>
      </w:r>
      <w:r>
        <w:rPr>
          <w:rFonts w:ascii="Arial" w:cs="Arial" w:eastAsia="Arial" w:hAnsi="Arial"/>
          <w:sz w:val="18"/>
          <w:szCs w:val="18"/>
          <w:color w:val="auto"/>
        </w:rPr>
        <w:t>, which provide industry-leading IFC, wireless in-flight entertainment (W-IFE) and aviation software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airlines and private business jets. The data capacity of our IFC systems enables all passengers and crew to receive in-flight internet service in the air similar to the internet service available on the ground, supporting applications such as high-speed web browsing, streaming and social media applications. Our W-IFE service is a cloud-based platform providing passengers with access to a wide range of premium entertainment, video and information services maintained on an onboard server and wirelessly delivered direct to passengers’ own devices. As of March 31, 2021, our IFC systems were installed and in service on approximately 1,480 commercial aircraft, of which, due to impacts of the COVID-19</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4" w:name="page5"/>
    <w:bookmarkEnd w:id="4"/>
    <w:p>
      <w:pPr>
        <w:ind w:left="1000" w:right="80"/>
        <w:spacing w:after="0" w:line="237" w:lineRule="auto"/>
        <w:rPr>
          <w:sz w:val="20"/>
          <w:szCs w:val="20"/>
          <w:color w:val="auto"/>
        </w:rPr>
      </w:pPr>
      <w:r>
        <w:rPr>
          <w:rFonts w:ascii="Arial" w:cs="Arial" w:eastAsia="Arial" w:hAnsi="Arial"/>
          <w:sz w:val="18"/>
          <w:szCs w:val="18"/>
          <w:color w:val="auto"/>
        </w:rPr>
        <w:t>pandemic, approximately 200 were inactive at fiscal year end. We anticipate that approximately 1,190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w:t>
      </w:r>
    </w:p>
    <w:p>
      <w:pPr>
        <w:spacing w:after="0" w:line="39" w:lineRule="exact"/>
        <w:rPr>
          <w:sz w:val="20"/>
          <w:szCs w:val="20"/>
          <w:color w:val="auto"/>
        </w:rPr>
      </w:pPr>
    </w:p>
    <w:p>
      <w:pPr>
        <w:ind w:left="1000" w:right="20" w:hanging="493"/>
        <w:spacing w:after="0" w:line="241"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Community Internet Services, </w:t>
      </w:r>
      <w:r>
        <w:rPr>
          <w:rFonts w:ascii="Arial" w:cs="Arial" w:eastAsia="Arial" w:hAnsi="Arial"/>
          <w:sz w:val="18"/>
          <w:szCs w:val="18"/>
          <w:color w:val="auto"/>
        </w:rPr>
        <w:t>which offer innovative, affordable, satellite-based connectivity in communities that have little, or</w:t>
      </w:r>
      <w:r>
        <w:rPr>
          <w:rFonts w:ascii="Arial" w:cs="Arial" w:eastAsia="Arial" w:hAnsi="Arial"/>
          <w:sz w:val="18"/>
          <w:szCs w:val="18"/>
          <w:i w:val="1"/>
          <w:iCs w:val="1"/>
          <w:color w:val="auto"/>
        </w:rPr>
        <w:t xml:space="preserve"> </w:t>
      </w:r>
      <w:r>
        <w:rPr>
          <w:rFonts w:ascii="Arial" w:cs="Arial" w:eastAsia="Arial" w:hAnsi="Arial"/>
          <w:sz w:val="18"/>
          <w:szCs w:val="18"/>
          <w:color w:val="auto"/>
        </w:rPr>
        <w:t>no, access to the internet.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We are trialing services in advance of full commercial launch in other countries, including Brazil, Guatemala and Nigeria.</w:t>
      </w:r>
    </w:p>
    <w:p>
      <w:pPr>
        <w:spacing w:after="0" w:line="35" w:lineRule="exact"/>
        <w:rPr>
          <w:rFonts w:ascii="Arial" w:cs="Arial" w:eastAsia="Arial" w:hAnsi="Arial"/>
          <w:sz w:val="18"/>
          <w:szCs w:val="18"/>
          <w:color w:val="auto"/>
        </w:rPr>
      </w:pPr>
    </w:p>
    <w:p>
      <w:pPr>
        <w:ind w:left="1000" w:right="60" w:hanging="493"/>
        <w:spacing w:after="0" w:line="242"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Other Mobile Broadband Services</w:t>
      </w:r>
      <w:r>
        <w:rPr>
          <w:rFonts w:ascii="Arial" w:cs="Arial" w:eastAsia="Arial" w:hAnsi="Arial"/>
          <w:sz w:val="18"/>
          <w:szCs w:val="18"/>
          <w:color w:val="auto"/>
        </w:rPr>
        <w:t>, which include high-speed, satellite-based internet services to seagoing vessels,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energy offshore vessels, cruise ships, consumer ferries and yachts. In addition, we offer L-band managed services enabling real-time machine-to-machine (M2M) position tracking, management of remote assets and operations, and visibility into critical areas of the supply chain. Our high-performance M2M terminals are used for a broad range of applications including emergency responders, oil and gas pipeline monitoring, mobile fleet management, and high-value asset tracking.</w:t>
      </w:r>
    </w:p>
    <w:p>
      <w:pPr>
        <w:spacing w:after="0" w:line="36" w:lineRule="exact"/>
        <w:rPr>
          <w:rFonts w:ascii="Arial" w:cs="Arial" w:eastAsia="Arial" w:hAnsi="Arial"/>
          <w:sz w:val="18"/>
          <w:szCs w:val="18"/>
          <w:color w:val="auto"/>
        </w:rPr>
      </w:pPr>
    </w:p>
    <w:p>
      <w:pPr>
        <w:ind w:left="1000" w:right="400" w:hanging="493"/>
        <w:spacing w:after="0" w:line="24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Advanced Software and Communication Infrastructure Services, </w:t>
      </w:r>
      <w:r>
        <w:rPr>
          <w:rFonts w:ascii="Arial" w:cs="Arial" w:eastAsia="Arial" w:hAnsi="Arial"/>
          <w:sz w:val="18"/>
          <w:szCs w:val="18"/>
          <w:color w:val="auto"/>
        </w:rPr>
        <w:t>which include ultra-secure solutions spanning global IP</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connectivity, bandwidth-optimized over-the-top applications, industrial Internet-of-Things big data enablement and industry-leading machine learning analytics. These services support the evolution of digital enablement, and primarily result from our acquisition of RigNet subsequent to fiscal year end.</w:t>
      </w:r>
    </w:p>
    <w:p>
      <w:pPr>
        <w:spacing w:after="0" w:line="145"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The assets and results of operations of Euro Infrastructure Co. and RigNet, which were acquired subsequent to fiscal year end (see discussion above), will primarily be included in our satellite services segment (with insignificant amounts included in our commercial networks segment), commencing with the first quarter of fiscal year 2022.</w:t>
      </w:r>
    </w:p>
    <w:p>
      <w:pPr>
        <w:spacing w:after="0" w:line="14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Our ViaSat-3 class satellites are our third-generation, high-capacity Ka-band satellite design and are designed to further improve the speed, availability and cost-efficiency of our proprietary Ka-band satellite network. The satellites will have significantly greater data capacity and geographic coverage than our second-generation ViaSat-2 satellite. Our third-generation satellite design has enhanced ability to flexibly and dynamically allocate capacity by service, time and geography, allowing us to allocate our satellite capacity to markets where bandwidth usage demands and returns are highest. We have three ViaSat-3 class satellites under construction: the first is intended to cover the Americas, the second to cover the EMEA region, and the third to cover the Asia Pacific (APAC) region. We are making good progress on our ViaSat-3 constellation, but the spikes in COVID-19 between the end of calendar year 2020 and early calendar year 2021 have led to intermittent supply chain and labor availability challenges as we work to complete the payload for the first ViaSat-3 satellite. While we were able to offset some of these impacts with schedule gains in other areas, at this time we continue to target an early calendar year 2022 launch of the ViaSat-3 (Americas) satellite.</w:t>
      </w:r>
    </w:p>
    <w:p>
      <w:pPr>
        <w:spacing w:after="0" w:line="152"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In the fourth quarter of fiscal year 2018, we reported an antenna deployment issue on our ViaSat-2 satellite shortly before the launch of commercial broadband services. We worked with the satellite manufacturer to determine the root cause of the antenna deployment issue, potential corrective measures and resulting damage. In fiscal year 2019, the root cause analysis was completed and we filed insurance claims for the resulting damage. We received an aggregate of $188.0 million in insurance proceeds, which were used to pay down outstanding borrowings under our direct loan facility with the Export-Import Bank of the United States (the Ex-Im Credit Facility) used to finance the ViaSat-2 satellite (see “Liquidity and Capital Resources—Ex-Im Credit Facility” below). Our ViaSat-2 satellite, despite this anomaly, significantly expanded our network’s data capacity and geographic reach.</w:t>
      </w:r>
    </w:p>
    <w:p>
      <w:pPr>
        <w:spacing w:after="0" w:line="14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We believe that growth in our satellite services segment will be driven in the coming years by continued demand for high-speed broadband services across the globe, driven by an increase in the number of internet users, applications and connected devices. This presents opportunities across a number of Viasat satellite services businesses, including residential, business internet and Community Internet. Further growth in our in-flight services business is expected to be driven by the installation of our IFC systems on additional commercial aircraft and the expansion of airlines and flight routes covered by the footprint of our satellite fleet following the launch of our ViaSat-3 constellation. However, we expect our anticipated growth to be partially offset by ramping start-up expenses in new international and vertical markets and ground network infrastructure investments associated with the launch of our ViaSat-3 constellation, and that growth in the United States (particularly in our fixed broadband business) is expected to be affected by capacity constraints ahead of the launch of commercial service of the ViaSat-3 (Americas) satellite.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ind w:right="20" w:firstLine="510"/>
        <w:spacing w:after="0" w:line="236" w:lineRule="auto"/>
        <w:rPr>
          <w:sz w:val="20"/>
          <w:szCs w:val="20"/>
          <w:color w:val="auto"/>
        </w:rPr>
      </w:pPr>
      <w:r>
        <w:rPr>
          <w:rFonts w:ascii="Arial" w:cs="Arial" w:eastAsia="Arial" w:hAnsi="Arial"/>
          <w:sz w:val="18"/>
          <w:szCs w:val="18"/>
          <w:color w:val="auto"/>
        </w:rPr>
        <w:t>During fiscal year 2021, through the COVID-19 pandemic, we experienced increased demand for our premium high-speed plans in our fixed broadband services business, reflecting customers’ increased bandwidth needs in a remote working/distance schooling environment. However, the pandemic also caused a severe decline in global air traffic during fiscal year 2021, which reduced demand for our in-flight services and IFC systems in our satellite services and commercial networks segments, respectively. While current global airline traffic is still a fraction of the activity in fiscal year 2020, domestic airline traffic is showing signs of improvement. As a result, our in-flight services business showed modest improvement in the quarter ended March 31, 2021 compared to the quarter ended December 30, 2020, with increased planes in service and passenger volumes. We expect to continue to see negative impacts on revenues and operating cash flows from our IFC businesses in fiscal year 2022 and potentially beyond, but for the effects to continue to lessen over time with increases in passenger air traffic and the return to service of additional currently inactive aircraft.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medium earth orbit (MEO) and low earth orbit (LEO).</w:t>
      </w:r>
    </w:p>
    <w:p>
      <w:pPr>
        <w:spacing w:after="0" w:line="148"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Our products, systems and solutions are generally developed through a combination of customer and discretionary internal research and development (R&amp;D) funding, and products are often linked through common underlying technologies, customer applications and market relationships. For example, products, systems and solutions developed and sold in our commercial networks segment are often complementary to those developed and sold to government customers in our government systems segment, and our portfolio of government and military offerings in our government systems segment leverages our technological investments in our commercial networks segment. Our commercial networks segment also drives growth in our satellite services segment. For example, the IFC terminals sold and installed on commercial aircraft and business jets in our commercial networks segment are then utilized to receive IFC services, driving recurring revenues in our satellite services segment.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systems, solutions and services offered by our commercial networks segment are comprised of:</w:t>
      </w:r>
    </w:p>
    <w:p>
      <w:pPr>
        <w:spacing w:after="0" w:line="45" w:lineRule="exact"/>
        <w:rPr>
          <w:sz w:val="20"/>
          <w:szCs w:val="20"/>
          <w:color w:val="auto"/>
        </w:rPr>
      </w:pPr>
    </w:p>
    <w:p>
      <w:pPr>
        <w:ind w:left="1000" w:right="20" w:hanging="493"/>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Mobile Broadband Satellite Communication Systems</w:t>
      </w:r>
      <w:r>
        <w:rPr>
          <w:rFonts w:ascii="Arial" w:cs="Arial" w:eastAsia="Arial" w:hAnsi="Arial"/>
          <w:sz w:val="18"/>
          <w:szCs w:val="18"/>
          <w:color w:val="auto"/>
        </w:rPr>
        <w:t>, which include systems and products designed for use in aircraft, seagoing</w:t>
      </w:r>
      <w:r>
        <w:rPr>
          <w:rFonts w:ascii="Arial" w:cs="Arial" w:eastAsia="Arial" w:hAnsi="Arial"/>
          <w:sz w:val="18"/>
          <w:szCs w:val="18"/>
          <w:i w:val="1"/>
          <w:iCs w:val="1"/>
          <w:color w:val="auto"/>
        </w:rPr>
        <w:t xml:space="preserve"> </w:t>
      </w:r>
      <w:r>
        <w:rPr>
          <w:rFonts w:ascii="Arial" w:cs="Arial" w:eastAsia="Arial" w:hAnsi="Arial"/>
          <w:sz w:val="18"/>
          <w:szCs w:val="18"/>
          <w:color w:val="auto"/>
        </w:rPr>
        <w:t>vessels and land-mobile systems, such as the IFC systems we install on business and commercial aircraft. These systems and products are designed to provide high-speed, cost-efficient broadband access to customers while on the move, and also utilize fixed broadband satellite infrastructure. The COVID-19 pandemic continues to impact our mobile broadband satellite communications system business due to the severe decline in global air traffic and resulting downturn in the commercial aviation market.</w:t>
      </w:r>
    </w:p>
    <w:p>
      <w:pPr>
        <w:spacing w:after="0" w:line="29" w:lineRule="exact"/>
        <w:rPr>
          <w:rFonts w:ascii="Arial" w:cs="Arial" w:eastAsia="Arial" w:hAnsi="Arial"/>
          <w:sz w:val="18"/>
          <w:szCs w:val="18"/>
          <w:color w:val="auto"/>
        </w:rPr>
      </w:pPr>
    </w:p>
    <w:p>
      <w:pPr>
        <w:ind w:left="1000" w:hanging="493"/>
        <w:spacing w:after="0" w:line="24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Fixed Broadband Satellite Communication Systems</w:t>
      </w:r>
      <w:r>
        <w:rPr>
          <w:rFonts w:ascii="Arial" w:cs="Arial" w:eastAsia="Arial" w:hAnsi="Arial"/>
          <w:sz w:val="18"/>
          <w:szCs w:val="18"/>
          <w:color w:val="auto"/>
        </w:rPr>
        <w:t>, which include next-generation satellite network infrastructure and ground</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terminals designed to enable satellite-based broadband access for residential, enterprise and Community Internet hotspot users. Products and solutions in this category include space-to-earth connectivity systems, ground network infrastructure and user terminals. We also offer related products and services to enterprise customers to address bandwidth constraints, latency and other issues. In addition to commercial sales of these products and solutions, we also deploy our fixed broadband satellite communication systems to support our own fleet of proprietary Ka-band satellites.</w:t>
      </w:r>
    </w:p>
    <w:p>
      <w:pPr>
        <w:spacing w:after="0" w:line="35" w:lineRule="exact"/>
        <w:rPr>
          <w:rFonts w:ascii="Arial" w:cs="Arial" w:eastAsia="Arial" w:hAnsi="Arial"/>
          <w:sz w:val="18"/>
          <w:szCs w:val="18"/>
          <w:color w:val="auto"/>
        </w:rPr>
      </w:pPr>
    </w:p>
    <w:p>
      <w:pPr>
        <w:ind w:left="1000" w:right="100" w:hanging="493"/>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Antenna Systems</w:t>
      </w:r>
      <w:r>
        <w:rPr>
          <w:rFonts w:ascii="Arial" w:cs="Arial" w:eastAsia="Arial" w:hAnsi="Arial"/>
          <w:sz w:val="18"/>
          <w:szCs w:val="18"/>
          <w:color w:val="auto"/>
        </w:rPr>
        <w:t>, which include state-of-the-art ground and airborne terminals, antennas and gateways for terrestrial and</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customer applications (such as Real-Time Earth imaging and remote sensing services, mobile satellite communication, Ka-band earth stations and other multi-band antennas).</w:t>
      </w:r>
    </w:p>
    <w:p>
      <w:pPr>
        <w:spacing w:after="0" w:line="28" w:lineRule="exact"/>
        <w:rPr>
          <w:rFonts w:ascii="Arial" w:cs="Arial" w:eastAsia="Arial" w:hAnsi="Arial"/>
          <w:sz w:val="18"/>
          <w:szCs w:val="18"/>
          <w:color w:val="auto"/>
        </w:rPr>
      </w:pPr>
    </w:p>
    <w:p>
      <w:pPr>
        <w:ind w:left="1000" w:hanging="493"/>
        <w:spacing w:after="0" w:line="242"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Satellite Networking Development</w:t>
      </w:r>
      <w:r>
        <w:rPr>
          <w:rFonts w:ascii="Arial" w:cs="Arial" w:eastAsia="Arial" w:hAnsi="Arial"/>
          <w:sz w:val="18"/>
          <w:szCs w:val="18"/>
          <w:color w:val="auto"/>
        </w:rPr>
        <w:t>, which includes specialized design and technology services covering all aspects of satellite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system architecture and technology. Services include analysis, design and development of satellite and ground systems, semiconductor design for Application-Specific Integrated Circuit (ASIC) and Monolithic Microwave Integrated Circuit (MMIC) chips and network function virtualization, as well as modules and subsystems for various commercial, military and space uses.</w:t>
      </w:r>
    </w:p>
    <w:p>
      <w:pPr>
        <w:spacing w:after="0" w:line="36" w:lineRule="exact"/>
        <w:rPr>
          <w:rFonts w:ascii="Arial" w:cs="Arial" w:eastAsia="Arial" w:hAnsi="Arial"/>
          <w:sz w:val="18"/>
          <w:szCs w:val="18"/>
          <w:color w:val="auto"/>
        </w:rPr>
      </w:pPr>
    </w:p>
    <w:p>
      <w:pPr>
        <w:ind w:left="1000" w:right="220" w:hanging="493"/>
        <w:spacing w:after="0" w:line="245"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Space System Design and Development</w:t>
      </w:r>
      <w:r>
        <w:rPr>
          <w:rFonts w:ascii="Arial" w:cs="Arial" w:eastAsia="Arial" w:hAnsi="Arial"/>
          <w:sz w:val="18"/>
          <w:szCs w:val="18"/>
          <w:color w:val="auto"/>
        </w:rPr>
        <w:t>, which includes the design and development of high-capacity Ka-band satellites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associated satellite payload and antenna technologies for our own satellite fleet as well as for third parties. Our space system design and development products and services include architectures for GEO, MEO and LEO and other small satellite platforms.</w:t>
      </w:r>
    </w:p>
    <w:p>
      <w:pPr>
        <w:spacing w:after="0" w:line="185" w:lineRule="exact"/>
        <w:rPr>
          <w:sz w:val="20"/>
          <w:szCs w:val="20"/>
          <w:color w:val="auto"/>
        </w:rPr>
      </w:pPr>
    </w:p>
    <w:p>
      <w:pPr>
        <w:ind w:right="140" w:firstLine="510"/>
        <w:spacing w:after="0" w:line="246" w:lineRule="auto"/>
        <w:rPr>
          <w:sz w:val="20"/>
          <w:szCs w:val="20"/>
          <w:color w:val="auto"/>
        </w:rPr>
      </w:pPr>
      <w:r>
        <w:rPr>
          <w:rFonts w:ascii="Arial" w:cs="Arial" w:eastAsia="Arial" w:hAnsi="Arial"/>
          <w:sz w:val="18"/>
          <w:szCs w:val="18"/>
          <w:color w:val="auto"/>
        </w:rPr>
        <w:t>We believe growth in our commercial networks segment will be driven in the coming years by continued growth in worldwide demand for mobile and fixed broadband connectivity. As the cost-effectiveness of satellite technologies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 w:name="page7"/>
    <w:bookmarkEnd w:id="6"/>
    <w:p>
      <w:pPr>
        <w:ind w:right="40"/>
        <w:spacing w:after="0" w:line="245" w:lineRule="auto"/>
        <w:rPr>
          <w:sz w:val="20"/>
          <w:szCs w:val="20"/>
          <w:color w:val="auto"/>
        </w:rPr>
      </w:pPr>
      <w:r>
        <w:rPr>
          <w:rFonts w:ascii="Arial" w:cs="Arial" w:eastAsia="Arial" w:hAnsi="Arial"/>
          <w:sz w:val="18"/>
          <w:szCs w:val="18"/>
          <w:color w:val="auto"/>
        </w:rPr>
        <w:t>rapidly deploy broadband services across wide geographic areas and to large numbers of people continues to increase, we believe demand for the ground networking equipment and products that enable or support access to satellite-based broadband services will continue to grow.</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99"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Customers of our government systems segment include the U.S. Department of Defense (DoD), those serving the Five Eye (FVEY) intelligence alliance (Australia, Canada, New Zealand, the United Kingdom and the United States), allied foreign governments, allied armed forces, public safety first-responders and remote government employees.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45" w:lineRule="exact"/>
        <w:rPr>
          <w:sz w:val="20"/>
          <w:szCs w:val="20"/>
          <w:color w:val="auto"/>
        </w:rPr>
      </w:pPr>
    </w:p>
    <w:p>
      <w:pPr>
        <w:ind w:left="1000" w:hanging="493"/>
        <w:spacing w:after="0" w:line="23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Government Mobile Broadband Products and Services</w:t>
      </w:r>
      <w:r>
        <w:rPr>
          <w:rFonts w:ascii="Arial" w:cs="Arial" w:eastAsia="Arial" w:hAnsi="Arial"/>
          <w:sz w:val="18"/>
          <w:szCs w:val="18"/>
          <w:color w:val="auto"/>
        </w:rPr>
        <w:t>, which provide military and government users with high-speed,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and multimedia connectivity in key regions of the world, as well as line-of-sight (LOS) and beyond-line-of-sight (BLOS) Intelligence, Surveillance and Reconnaissance (ISR) missions. Our government mobile broadband services include high-bandwidth global communications services in support of VIP and senior-level airborne operations and emergency response, as well as LOS and BLOS ISR missions. Products include mobile broadband modems, terminals, network access control systems and antenna systems using a range of satellite frequency bands capable of being installed and operated on a wide variety of fixed wing, rotary wing, manned and unmanned aircraft, ground vehicles and maritime platforms. Services include advanced mobility services to governments for aircraft and ships, as well as for nomadic and ground based missions. Our high-capacity, secure mobile broadband products and services are enabled by our next-generation satellite network infrastructure, which will be further enhanced following the launch of our ViaSat-3 constellation.</w:t>
      </w:r>
    </w:p>
    <w:p>
      <w:pPr>
        <w:spacing w:after="0" w:line="39" w:lineRule="exact"/>
        <w:rPr>
          <w:rFonts w:ascii="Arial" w:cs="Arial" w:eastAsia="Arial" w:hAnsi="Arial"/>
          <w:sz w:val="18"/>
          <w:szCs w:val="18"/>
          <w:color w:val="auto"/>
        </w:rPr>
      </w:pPr>
    </w:p>
    <w:p>
      <w:pPr>
        <w:ind w:left="1000" w:right="320" w:hanging="493"/>
        <w:spacing w:after="0" w:line="23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Government Satellite Communication (SATCOM) Systems</w:t>
      </w:r>
      <w:r>
        <w:rPr>
          <w:rFonts w:ascii="Arial" w:cs="Arial" w:eastAsia="Arial" w:hAnsi="Arial"/>
          <w:sz w:val="18"/>
          <w:szCs w:val="18"/>
          <w:color w:val="auto"/>
        </w:rPr>
        <w:t>, which offer an array of portable, mobile and fixed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modems, terminals, network access control systems and antenna systems using a range of satellite frequency bands for Command and Control (C2) missions, satellite networking services and network management systems for Wi-Fi and other internet access networks. Our SATCOM systems, products and services are designed to support high-throughput broadband data links, to increase available bandwidth using existing satellite capacity, and to be resilient in order to withstand certain catastrophic events. Our range of SATCOM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42" w:lineRule="exact"/>
        <w:rPr>
          <w:rFonts w:ascii="Arial" w:cs="Arial" w:eastAsia="Arial" w:hAnsi="Arial"/>
          <w:sz w:val="18"/>
          <w:szCs w:val="18"/>
          <w:color w:val="auto"/>
        </w:rPr>
      </w:pPr>
    </w:p>
    <w:p>
      <w:pPr>
        <w:ind w:left="1000" w:right="160" w:hanging="493"/>
        <w:spacing w:after="0" w:line="258"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Secure Networking, Cybersecurity and Information Assurance Products and Services</w:t>
      </w:r>
      <w:r>
        <w:rPr>
          <w:rFonts w:ascii="Arial" w:cs="Arial" w:eastAsia="Arial" w:hAnsi="Arial"/>
          <w:sz w:val="17"/>
          <w:szCs w:val="17"/>
          <w:color w:val="auto"/>
        </w:rPr>
        <w:t>, which provide advanced, high-speed IP-based “Type 1” and High Assurance Internet Protocol Encryption (HAIPE®)-compliant encryption solutions that enable military and government users to communicate information securely over networks,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SATCOM systems and products.</w:t>
      </w:r>
    </w:p>
    <w:p>
      <w:pPr>
        <w:spacing w:after="0" w:line="21" w:lineRule="exact"/>
        <w:rPr>
          <w:rFonts w:ascii="Arial" w:cs="Arial" w:eastAsia="Arial" w:hAnsi="Arial"/>
          <w:sz w:val="17"/>
          <w:szCs w:val="17"/>
          <w:color w:val="auto"/>
        </w:rPr>
      </w:pPr>
    </w:p>
    <w:p>
      <w:pPr>
        <w:ind w:left="1000" w:right="40" w:hanging="493"/>
        <w:spacing w:after="0" w:line="23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Tactical Data Links</w:t>
      </w:r>
      <w:r>
        <w:rPr>
          <w:rFonts w:ascii="Arial" w:cs="Arial" w:eastAsia="Arial" w:hAnsi="Arial"/>
          <w:sz w:val="18"/>
          <w:szCs w:val="18"/>
          <w:color w:val="auto"/>
        </w:rPr>
        <w:t>, which comprise advanced tactical radio and information distribution systems that enable secure voice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real-time collection and dissemination of video and data using secure, jam-resistant transmission links. These data links communicate over Link 16 or tactical VHF/UHF networks, from manned and unmanned aircraft, ground vehicles, individual warfighters and other remote platforms to each other and networked communication and command centers. Key products in this category include our Battlefield Awareness and Targeting System — Dismounted (BATS-D) handheld Link 16 radios, our Battlefield Awareness and Targeting System — Embedded (BATS-E) handheld Link 16 radios, our Small Tactical Terminal (STT) 2-channel radios for manned and unmanned applications, “disposable” defense data links, and our Multifunctional Information Distribution System (MIDS) and MIDS Joint Tactical Radio System (MIDS-JTRS) terminals for military fighter jets.</w:t>
      </w:r>
    </w:p>
    <w:p>
      <w:pPr>
        <w:spacing w:after="0" w:line="151" w:lineRule="exact"/>
        <w:rPr>
          <w:sz w:val="20"/>
          <w:szCs w:val="20"/>
          <w:color w:val="auto"/>
        </w:rPr>
      </w:pPr>
    </w:p>
    <w:p>
      <w:pPr>
        <w:jc w:val="both"/>
        <w:ind w:right="440" w:firstLine="510"/>
        <w:spacing w:after="0"/>
        <w:rPr>
          <w:sz w:val="20"/>
          <w:szCs w:val="20"/>
          <w:color w:val="auto"/>
        </w:rPr>
      </w:pPr>
      <w:r>
        <w:rPr>
          <w:rFonts w:ascii="Arial" w:cs="Arial" w:eastAsia="Arial" w:hAnsi="Arial"/>
          <w:sz w:val="18"/>
          <w:szCs w:val="18"/>
          <w:color w:val="auto"/>
        </w:rPr>
        <w:t>We believe the battlefield of the future will require a resilient communications architecture capable of supporting tomorrow’s Multi-Domain Command and Control (MDC2), the Internet of Battlefield Things (IoBT), and high-velocity, data-rich network-centric operations, enabling secure, reliable and ubiquitous connectivity while under attack, on the move or at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ind w:right="440"/>
        <w:spacing w:after="0" w:line="238" w:lineRule="auto"/>
        <w:rPr>
          <w:sz w:val="20"/>
          <w:szCs w:val="20"/>
          <w:color w:val="auto"/>
        </w:rPr>
      </w:pPr>
      <w:r>
        <w:rPr>
          <w:rFonts w:ascii="Arial" w:cs="Arial" w:eastAsia="Arial" w:hAnsi="Arial"/>
          <w:sz w:val="18"/>
          <w:szCs w:val="18"/>
          <w:color w:val="auto"/>
        </w:rPr>
        <w:t>fixed locations around the globe. These requirements will potentially provide significant growth opportunities in our government systems segment in the coming years, as demand increases for secure, higher-capacity, higher-quality broadband services, associated ground systems and advanced cybersecurity protections. Additional growth factors also reside in an increasing military interest for high-speed broadband BLOS connectivity, for example over Link 16 networks, supporting real-time C2 decision-making and enhanced situational awareness across ground and air applications.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85" w:lineRule="exact"/>
        <w:rPr>
          <w:sz w:val="20"/>
          <w:szCs w:val="20"/>
          <w:color w:val="auto"/>
        </w:rPr>
      </w:pPr>
    </w:p>
    <w:p>
      <w:pPr>
        <w:ind w:right="120" w:firstLine="510"/>
        <w:spacing w:after="0" w:line="246" w:lineRule="auto"/>
        <w:rPr>
          <w:sz w:val="20"/>
          <w:szCs w:val="20"/>
          <w:color w:val="auto"/>
        </w:rPr>
      </w:pPr>
      <w:r>
        <w:rPr>
          <w:rFonts w:ascii="Arial" w:cs="Arial" w:eastAsia="Arial" w:hAnsi="Arial"/>
          <w:sz w:val="18"/>
          <w:szCs w:val="18"/>
          <w:color w:val="auto"/>
        </w:rPr>
        <w:t>We believe the following strengths position our business to capitalize on the attractive growth opportunities presented in our business segments:</w:t>
      </w:r>
    </w:p>
    <w:p>
      <w:pPr>
        <w:spacing w:after="0" w:line="44" w:lineRule="exact"/>
        <w:rPr>
          <w:sz w:val="20"/>
          <w:szCs w:val="20"/>
          <w:color w:val="auto"/>
        </w:rPr>
      </w:pPr>
    </w:p>
    <w:p>
      <w:pPr>
        <w:ind w:left="1000" w:right="20" w:hanging="493"/>
        <w:spacing w:after="0" w:line="236"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Innovation of Next-Generation Satellite and Space Technologies. </w:t>
      </w:r>
      <w:r>
        <w:rPr>
          <w:rFonts w:ascii="Arial" w:cs="Arial" w:eastAsia="Arial" w:hAnsi="Arial"/>
          <w:sz w:val="18"/>
          <w:szCs w:val="18"/>
          <w:color w:val="auto"/>
        </w:rPr>
        <w:t>We have a long history of innovation in next-generation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and space technologies. Our award-winning first-generation, high-capacity Ka-band spot-beam satellite, ViaSat-1, earned a Guinness World Records® title in 2013 as the highest-capacity communications satellite in the world at that time. Our second-generation ViaSat-2 satellite and its advanced ground network infrastructure significantly expanded our total data capacity and geographic reach, and support the flexible allocation of capacity to meet demand within the satellite’s footprint. By improving satellite speed, availability and geographic coverage area, our ViaSat-2 satellite enabled us to provide compelling premium retail service plans in select markets that can compete against traditional terrestrial broadband service providers and to significantly expand our IFC services business. In March 2018, ViaSat-2 was selected as a winner in the ‘Space, Platforms’ category of Aviation Week’s 61st Annual Laureate Awards, honoring extraordinary achievements in the global aerospace arena. Our third-generation ViaSat-3 class satellites under construction offer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demand, resulting in greater speed, availability and cost-efficiency. Furthermore, we are now working on the design of our next-generation ViaSat-4 satellite system, which is expected to be even more capable with each satellite able to deliver multiple Terabits per second—yielding another significant productivity gain relative to ViaSat-3 class satellites.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w:t>
      </w:r>
    </w:p>
    <w:p>
      <w:pPr>
        <w:spacing w:after="0" w:line="48" w:lineRule="exact"/>
        <w:rPr>
          <w:rFonts w:ascii="Arial" w:cs="Arial" w:eastAsia="Arial" w:hAnsi="Arial"/>
          <w:sz w:val="18"/>
          <w:szCs w:val="18"/>
          <w:color w:val="auto"/>
        </w:rPr>
      </w:pPr>
    </w:p>
    <w:p>
      <w:pPr>
        <w:ind w:left="1000" w:hanging="493"/>
        <w:spacing w:after="0" w:line="23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Vertically Integrated End-to-End Platform of Leading Broadband Technologies</w:t>
      </w:r>
      <w:r>
        <w:rPr>
          <w:rFonts w:ascii="Arial" w:cs="Arial" w:eastAsia="Arial" w:hAnsi="Arial"/>
          <w:sz w:val="18"/>
          <w:szCs w:val="18"/>
          <w:color w:val="auto"/>
        </w:rPr>
        <w:t>. We believe our innovative ecosystem of high-capacity Ka-band satellites, ground infrastructure and user terminals provides a vertically integrated end-to-end platform that creates significant synergies in our business and uniquely positions us to drive operational efficiencies and cost-effectively deliver a diverse portfolio of high-speed, high-quality broadband solutions and applications to enterprises, consumers, military and government users. Our product, system and service offerings are often linked through common underlying technologies, customer applications and market relationships. We believe that our comprehensive and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42" w:lineRule="exact"/>
        <w:rPr>
          <w:rFonts w:ascii="Arial" w:cs="Arial" w:eastAsia="Arial" w:hAnsi="Arial"/>
          <w:sz w:val="18"/>
          <w:szCs w:val="18"/>
          <w:color w:val="auto"/>
        </w:rPr>
      </w:pPr>
    </w:p>
    <w:p>
      <w:pPr>
        <w:ind w:left="1000" w:right="40" w:hanging="493"/>
        <w:spacing w:after="0" w:line="23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Diversification of Business Model</w:t>
      </w:r>
      <w:r>
        <w:rPr>
          <w:rFonts w:ascii="Arial" w:cs="Arial" w:eastAsia="Arial" w:hAnsi="Arial"/>
          <w:sz w:val="18"/>
          <w:szCs w:val="18"/>
          <w:color w:val="auto"/>
        </w:rPr>
        <w:t>. Our business is highly diversified. Our fixed broadband services range from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services at high data speeds to Community Internet services designed to provide affordable internet access in countries with significant unserved or underserved populations. Our IFC systems and services support high-speed broadband services for commercial, private and military aircraft around the globe. We also sell complex satellite communication systems and products to communications service providers, enterprises and government users, and in our government systems segment we offer a portfolio of military tactical data link, cybersecurity and information assurance products and services. This diversification in product and service offerings, customer base and market segment helps to reduce our exposure to fluctuations in any of the individual markets we serve and to provide resilience in our business performance in times of economic or political disruption. For example, during fiscal year 2021, revenue impacts to our commercial aviation business in our satellite services and commercial networks segments resulting from the global disruption in the airline industry caused by the COVID-19 pandemic were offset by strong demand in our fixed broadband services business and other parts of our business.</w:t>
      </w:r>
    </w:p>
    <w:p>
      <w:pPr>
        <w:spacing w:after="0" w:line="37" w:lineRule="exact"/>
        <w:rPr>
          <w:rFonts w:ascii="Arial" w:cs="Arial" w:eastAsia="Arial" w:hAnsi="Arial"/>
          <w:sz w:val="18"/>
          <w:szCs w:val="18"/>
          <w:color w:val="auto"/>
        </w:rPr>
      </w:pPr>
    </w:p>
    <w:p>
      <w:pPr>
        <w:ind w:left="1000" w:right="20" w:hanging="493"/>
        <w:spacing w:after="0" w:line="245"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Broad Array of Broadband Service Offerings, Tailored to Market Demand</w:t>
      </w:r>
      <w:r>
        <w:rPr>
          <w:rFonts w:ascii="Arial" w:cs="Arial" w:eastAsia="Arial" w:hAnsi="Arial"/>
          <w:sz w:val="18"/>
          <w:szCs w:val="18"/>
          <w:color w:val="auto"/>
        </w:rPr>
        <w:t>. Our proprietary Ka-band satellite network provides the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us to provide a broad array of satellite-based high-quality, high-speed broadband services with multiple applications. Our offerings include fixed broadband services to residential and enterprise customers, market-leading mobility services to aircraft utilizing our IFC systems, and satellite-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 w:name="page9"/>
    <w:bookmarkEnd w:id="8"/>
    <w:p>
      <w:pPr>
        <w:ind w:left="500"/>
        <w:spacing w:after="0" w:line="235" w:lineRule="auto"/>
        <w:rPr>
          <w:sz w:val="20"/>
          <w:szCs w:val="20"/>
          <w:color w:val="auto"/>
        </w:rPr>
      </w:pPr>
      <w:r>
        <w:rPr>
          <w:rFonts w:ascii="Arial" w:cs="Arial" w:eastAsia="Arial" w:hAnsi="Arial"/>
          <w:sz w:val="18"/>
          <w:szCs w:val="18"/>
          <w:color w:val="auto"/>
        </w:rPr>
        <w:t>powered Community Internet services that provide affordable and reliable high-speed connectivity in unserved and underserved areas. In the U.S. residential broadband market, our ViaSat-2 satellite supports retail service plans offering data capacity in select markets of up to 100 Mbps. We expect our ViaSat-3 satellites to support a wide array of premium service offerings in more geographic areas. Our IFC services enable connectivity services to be provided to more passengers and crew on more flights, across commercial and business aircraft, and the ability to leverage high-capacity internet services such as streaming video. Our IFC services have received numerous awards and accolades, including the 2019 APEX Global Passenger Choice Award Winner and 2018 APEX Regional Passenger Choice Award Winner for best Wi-Fi (for our services on JetBlue). These awards were tallied from passenger-submitted data, showcasing the power of the Viasat internet platform to deliver exceptional in-flight connectivity services. In 2015, Viasat’s IFC systems received the Crystal Cabin Award for the best Passenger Comfort System, the Excellence in Avionics Award for In-Flight Connectivity Innovation and the Via Satellite Excellence Award for Vertical Impact. The flexibility, high data throughput and broad geographic coverage area of ViaSat-2 (and our even more powerful third-generation ViaSat-3 class proprietary Ka-band satellites under construction), combined with our ability to dynamically allocate capacity based on demand, enable us to support a wide range of high-speed broadband services addressing multiple markets, provide innovative new services creating new market opportunities, tailor our service offerings to market needs, and compete more effectively in the markets we serve.</w:t>
      </w:r>
    </w:p>
    <w:p>
      <w:pPr>
        <w:spacing w:after="0" w:line="46" w:lineRule="exact"/>
        <w:rPr>
          <w:sz w:val="20"/>
          <w:szCs w:val="20"/>
          <w:color w:val="auto"/>
        </w:rPr>
      </w:pPr>
    </w:p>
    <w:p>
      <w:pPr>
        <w:ind w:left="500" w:right="20" w:hanging="493"/>
        <w:spacing w:after="0" w:line="236"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Diverse Portfolio of Market-Leading Military and Government Offerings. </w:t>
      </w:r>
      <w:r>
        <w:rPr>
          <w:rFonts w:ascii="Arial" w:cs="Arial" w:eastAsia="Arial" w:hAnsi="Arial"/>
          <w:sz w:val="18"/>
          <w:szCs w:val="18"/>
          <w:color w:val="auto"/>
        </w:rPr>
        <w:t>We are a leading provider of innovative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cybersecurity products and solutions to the U.S. Government and other military and government users around the world for innovative communications products and solutions designed to enable the transmission of secure real-time digital information and communications between fixed and mobile command centers, intelligence and defense platforms and individuals. Our portfolio of government and military offerings leverages our technological investments in our commercial business, and includes tactical data links, small satellite development, fixed and mobile satellite broadband systems and services, cybersecurity and information assurance products and services. Total new awards in our government systems segment grew from $460.9 million in fiscal year 2011 to $1.2 billion in fiscal year 2021, despite an uneven defense spending environment, reflecting the high demand for our diverse portfolio of products and services for military and government users. Our tactical data link products include our market-leading BATS-D AN/PRC-161 handheld Link 16 radios and STT KOR-24A 2-channel radios, which bridge the gap between air and ground forces by providing secure, reliable access to integrated air and ground data for improved situational awareness capabilities and support communications, and are capable of advanced concurrent multiple reception capabilities to enhance communications and reduce network congestion. Our small satellite development work is market leading and is designed to enable a new tactical space layer for our government customers, enabling increasingly advanced precision operations and maneuvering. For example, we are working with the Air Force Research Laboratory (AFRL) Space Vehicles XVI program to deliver and test the first-ever Link 16-capable LEO spacecraft. Leveraging Viasat’s leadership in satellite innovation and military communications, the Viasat-designed spacecraft is intended to enhance warfighters' situational awareness by extending the range of Link 16 networks – using a constellation of satellites to provide greater access to Link 16 capabilities in contested or congested environments. Further, in February 2021, Viasat was awarded a $50.8 million IDIQ contract from the AFRL to potentially develop a broad range of prototype space systems, with services including studies, design, manufacturing, integration, launch, flight and demonstration of small satellites, ground terminals and other technologies. Our mobile satellite broadband offerings leverage our innovative satellite technologies and proprietary Ka-band satellite platform, allowing us to provide high-speed, high-quality internet services to government and military aircraft, ships and vehicles. In September 2018, we were awarded an eight-year, firm-fixed-price contract to provide in-flight broadband and connectivity services to U.S. Government Senior Leader and VIP aircraft. Our secure networking products and services include a broad portfolio of advanced, high-speed Type 1 encryption solutions that are capable of operating at speeds of up to 100 Gbps, as well as advanced cybersecurity products to secure information transmitted via the cloud. In February 2021, we received enhanced cybersecurity accreditation from the U.S. Department of Homeland Security (DHS) through their Enhanced Cybersecurity Services (ECS) program. As an accredited ECS provider, we will receive DHS-provided sensitive and classified cybersecurity threat indicators and information to defend U.S.-based public and private computer networks, including state and local governments, against unauthorized access, exploitation and data exfiltration.</w:t>
      </w:r>
    </w:p>
    <w:p>
      <w:pPr>
        <w:spacing w:after="0" w:line="20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40" w:right="339" w:bottom="1440" w:gutter="0" w:footer="0" w:header="0"/>
        </w:sectPr>
      </w:pPr>
    </w:p>
    <w:bookmarkStart w:id="9" w:name="page10"/>
    <w:bookmarkEnd w:id="9"/>
    <w:p>
      <w:pPr>
        <w:ind w:left="1000" w:right="180" w:hanging="493"/>
        <w:spacing w:after="0" w:line="24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Blue-Chip Customer Base</w:t>
      </w:r>
      <w:r>
        <w:rPr>
          <w:rFonts w:ascii="Arial" w:cs="Arial" w:eastAsia="Arial" w:hAnsi="Arial"/>
          <w:sz w:val="18"/>
          <w:szCs w:val="18"/>
          <w:color w:val="auto"/>
        </w:rPr>
        <w:t>. Our blue-chip customer base includes customers such as the U.S. Government, leading aerospace</w:t>
      </w:r>
      <w:r>
        <w:rPr>
          <w:rFonts w:ascii="Arial" w:cs="Arial" w:eastAsia="Arial" w:hAnsi="Arial"/>
          <w:sz w:val="18"/>
          <w:szCs w:val="18"/>
          <w:i w:val="1"/>
          <w:iCs w:val="1"/>
          <w:color w:val="auto"/>
        </w:rPr>
        <w:t xml:space="preserve"> </w:t>
      </w:r>
      <w:r>
        <w:rPr>
          <w:rFonts w:ascii="Arial" w:cs="Arial" w:eastAsia="Arial" w:hAnsi="Arial"/>
          <w:sz w:val="18"/>
          <w:szCs w:val="18"/>
          <w:color w:val="auto"/>
        </w:rPr>
        <w:t>and defense prime contractors, allied foreign governments, civil agencies, satellite network integrators, large communications service providers, commercial airlines and enterprises requiring complex communications and networking solutions and services. We believe that the credit strength of these key customers helps support more consistent financial performance. Moreover, our direct relationships with key customers such as commercial airlines and the DoD allow us to adapt our satellite designs and product and service offerings to better meet their desired outcomes.</w:t>
      </w:r>
    </w:p>
    <w:p>
      <w:pPr>
        <w:spacing w:after="0" w:line="36" w:lineRule="exact"/>
        <w:rPr>
          <w:rFonts w:ascii="Arial" w:cs="Arial" w:eastAsia="Arial" w:hAnsi="Arial"/>
          <w:sz w:val="18"/>
          <w:szCs w:val="18"/>
          <w:color w:val="auto"/>
        </w:rPr>
      </w:pPr>
    </w:p>
    <w:p>
      <w:pPr>
        <w:ind w:left="1000" w:right="60" w:hanging="493"/>
        <w:spacing w:after="0" w:line="23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and Diversified Board of Directors. </w:t>
      </w:r>
      <w:r>
        <w:rPr>
          <w:rFonts w:ascii="Arial" w:cs="Arial" w:eastAsia="Arial" w:hAnsi="Arial"/>
          <w:sz w:val="18"/>
          <w:szCs w:val="18"/>
          <w:color w:val="auto"/>
        </w:rPr>
        <w:t>Our core management team is comprised of seasoned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with significant satellite communications, defense and aerospace experience. For example, our Executive Chairman, Mark Dankberg, has been with Viasat since its inception in 1986. Mr. Dankberg is considered to be a leading expert in the field of satellite, wireless and defense communications. Richard Baldridge, who assumed the position of Viasat’s President and Chief Executive Officer in November 2020, has been with Viasat for over 20 years. During Mr. Baldridge’s tenure, Viasat has grown organically and through acquisitions by more than a factor of 10. In addition, over the past several years, we have undertaken a conscious effort to diversify our Board of Directors, bringing in a wide variety of skills and experience aligned with our long-term goals. Our Board is comprised of a diverse range of high-profile corporate leaders with extensive experience in globalization, communications, space operations, and technology and business integration.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right="80" w:firstLine="510"/>
        <w:spacing w:after="0" w:line="246" w:lineRule="auto"/>
        <w:rPr>
          <w:sz w:val="20"/>
          <w:szCs w:val="20"/>
          <w:color w:val="auto"/>
        </w:rPr>
      </w:pPr>
      <w:r>
        <w:rPr>
          <w:rFonts w:ascii="Arial" w:cs="Arial" w:eastAsia="Arial" w:hAnsi="Arial"/>
          <w:sz w:val="18"/>
          <w:szCs w:val="18"/>
          <w:color w:val="auto"/>
        </w:rPr>
        <w:t>Our business strategy is to maintain our leadership position in cost-efficient, high-quality satellite-based communications products and services, focused on making connectivity accessible, available and secure for all. The principal elements of our strategy include:</w:t>
      </w:r>
    </w:p>
    <w:p>
      <w:pPr>
        <w:spacing w:after="0" w:line="188"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Drive Capital Efficiencies</w:t>
      </w:r>
    </w:p>
    <w:p>
      <w:pPr>
        <w:spacing w:after="0" w:line="80" w:lineRule="exact"/>
        <w:rPr>
          <w:rFonts w:ascii="Arial" w:cs="Arial" w:eastAsia="Arial" w:hAnsi="Arial"/>
          <w:sz w:val="18"/>
          <w:szCs w:val="18"/>
          <w:color w:val="auto"/>
        </w:rPr>
      </w:pPr>
    </w:p>
    <w:p>
      <w:pPr>
        <w:ind w:left="1520" w:hanging="500"/>
        <w:spacing w:after="0" w:line="2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Deliver the Most Productive Satellite Systems: </w:t>
      </w:r>
      <w:r>
        <w:rPr>
          <w:rFonts w:ascii="Arial" w:cs="Arial" w:eastAsia="Arial" w:hAnsi="Arial"/>
          <w:sz w:val="18"/>
          <w:szCs w:val="18"/>
          <w:color w:val="auto"/>
        </w:rPr>
        <w:t>We are hyper-focused on maximizing the useful bandwidth per total lifetime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cost of each satellite. We refer to this as “bandwidth productivity” and see this metric as a key factor in determining our return on satellite investment for each satellite we design, develop and build. When measured in terms of bandwidth productivity, we believe our existing and planned satellite fleet substantially outperforms other satellite operators and would also outperform our expectations for the LEO constellations proposed by new market entrants.</w:t>
      </w:r>
    </w:p>
    <w:p>
      <w:pPr>
        <w:spacing w:after="0" w:line="36" w:lineRule="exact"/>
        <w:rPr>
          <w:rFonts w:ascii="Arial" w:cs="Arial" w:eastAsia="Arial" w:hAnsi="Arial"/>
          <w:sz w:val="18"/>
          <w:szCs w:val="18"/>
          <w:color w:val="auto"/>
        </w:rPr>
      </w:pPr>
    </w:p>
    <w:p>
      <w:pPr>
        <w:ind w:left="1520" w:right="100" w:hanging="500"/>
        <w:spacing w:after="0" w:line="256"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i w:val="1"/>
          <w:iCs w:val="1"/>
          <w:color w:val="auto"/>
        </w:rPr>
        <w:t xml:space="preserve">Drive Efficiencies of Scale and Operations. </w:t>
      </w:r>
      <w:r>
        <w:rPr>
          <w:rFonts w:ascii="Arial" w:cs="Arial" w:eastAsia="Arial" w:hAnsi="Arial"/>
          <w:sz w:val="17"/>
          <w:szCs w:val="17"/>
          <w:color w:val="auto"/>
        </w:rPr>
        <w:t>We intend to continue to drive efficiencies in our businesses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vertical integration strategy and increasing scale as we move into new and adjacent geographic, product and service markets. We optimize our satellite systems through our development of an end-to-end platform of next-generation Ka-band satellites, ground networking equipment and user terminals that enable the provision of a broad array of high-speed broadband services. Our ViaSat-3 class satellites are expected to further drive scale and operational efficiencies through their enhanced ability to efficiently and dynamically match supply and demand through the flexible allocation of capacity by service, time and geography within the satellite footprint, as well as through their expected global geographic reach.</w:t>
      </w:r>
    </w:p>
    <w:p>
      <w:pPr>
        <w:spacing w:after="0" w:line="18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Focus on Relentless Execution</w:t>
      </w:r>
    </w:p>
    <w:p>
      <w:pPr>
        <w:spacing w:after="0" w:line="80" w:lineRule="exact"/>
        <w:rPr>
          <w:rFonts w:ascii="Arial" w:cs="Arial" w:eastAsia="Arial" w:hAnsi="Arial"/>
          <w:sz w:val="18"/>
          <w:szCs w:val="18"/>
          <w:color w:val="auto"/>
        </w:rPr>
      </w:pPr>
    </w:p>
    <w:p>
      <w:pPr>
        <w:ind w:left="1520" w:right="140" w:hanging="500"/>
        <w:spacing w:after="0" w:line="24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Maintain Focus on Technology Leadership: </w:t>
      </w:r>
      <w:r>
        <w:rPr>
          <w:rFonts w:ascii="Arial" w:cs="Arial" w:eastAsia="Arial" w:hAnsi="Arial"/>
          <w:sz w:val="18"/>
          <w:szCs w:val="18"/>
          <w:color w:val="auto"/>
        </w:rPr>
        <w:t>We continue to focus on R&amp;D to bring high-capacity, high-speed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to the global market. Our continued innovation in satellite system product development has been one of our hallmarks. We intend to maintain our leadership position in satellite systems, technologies and services, while continuing to expand our efforts in wireless communications, cloud networking and security. Our R&amp;D efforts are supported by a global employee base that includes approximately 3,000 engineers and a culture that deeply values and supports innovation.</w:t>
      </w:r>
    </w:p>
    <w:p>
      <w:pPr>
        <w:spacing w:after="0" w:line="35" w:lineRule="exact"/>
        <w:rPr>
          <w:rFonts w:ascii="Arial" w:cs="Arial" w:eastAsia="Arial" w:hAnsi="Arial"/>
          <w:sz w:val="18"/>
          <w:szCs w:val="18"/>
          <w:color w:val="auto"/>
        </w:rPr>
      </w:pPr>
    </w:p>
    <w:p>
      <w:pPr>
        <w:ind w:left="1520" w:right="20" w:hanging="500"/>
        <w:spacing w:after="0" w:line="245"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Follow Our Path of Proven Performance: </w:t>
      </w:r>
      <w:r>
        <w:rPr>
          <w:rFonts w:ascii="Arial" w:cs="Arial" w:eastAsia="Arial" w:hAnsi="Arial"/>
          <w:sz w:val="18"/>
          <w:szCs w:val="18"/>
          <w:color w:val="auto"/>
        </w:rPr>
        <w:t>We have an enviable track record for identifying and bringing to market impactful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technologies in space systems. ViaSat-1 was the highest capacity communications satellite at the time of its launch; ViaSat-2 almost doubled the capacity of ViaSat-1; and the ViaSat-3 constellation is anticipated to have roughly eight times more capacity than Viasat’s existing satellite fleet combined.</w:t>
      </w:r>
    </w:p>
    <w:p>
      <w:pPr>
        <w:spacing w:after="0" w:line="32" w:lineRule="exact"/>
        <w:rPr>
          <w:rFonts w:ascii="Arial" w:cs="Arial" w:eastAsia="Arial" w:hAnsi="Arial"/>
          <w:sz w:val="18"/>
          <w:szCs w:val="18"/>
          <w:color w:val="auto"/>
        </w:rPr>
      </w:pPr>
    </w:p>
    <w:p>
      <w:pPr>
        <w:ind w:left="1520" w:right="60" w:hanging="500"/>
        <w:spacing w:after="0" w:line="250"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Customer-Centricity Evolution: </w:t>
      </w:r>
      <w:r>
        <w:rPr>
          <w:rFonts w:ascii="Arial" w:cs="Arial" w:eastAsia="Arial" w:hAnsi="Arial"/>
          <w:sz w:val="18"/>
          <w:szCs w:val="18"/>
          <w:color w:val="auto"/>
        </w:rPr>
        <w:t>We are hyper-focused on increasing our customer interactions and have incorporated new</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tools and learnings from artificial intelligence and machine learning to enhanced customer intimacy techniques and customer advisory counsels. We strive to continue to</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p>
      <w:pPr>
        <w:jc w:val="both"/>
        <w:ind w:left="1020" w:right="580"/>
        <w:spacing w:after="0" w:line="273" w:lineRule="auto"/>
        <w:rPr>
          <w:sz w:val="20"/>
          <w:szCs w:val="20"/>
          <w:color w:val="auto"/>
        </w:rPr>
      </w:pPr>
      <w:r>
        <w:rPr>
          <w:rFonts w:ascii="Arial" w:cs="Arial" w:eastAsia="Arial" w:hAnsi="Arial"/>
          <w:sz w:val="17"/>
          <w:szCs w:val="17"/>
          <w:color w:val="auto"/>
        </w:rPr>
        <w:t>improve our ongoing customer engagements through proactive response, deeper customer insights and enhanced customer exchanges. This is an ongoing effort that will continue to be an investment and nurture opportunity for us.</w:t>
      </w:r>
    </w:p>
    <w:p>
      <w:pPr>
        <w:spacing w:after="0" w:line="167" w:lineRule="exact"/>
        <w:rPr>
          <w:sz w:val="20"/>
          <w:szCs w:val="20"/>
          <w:color w:val="auto"/>
        </w:rPr>
      </w:pPr>
    </w:p>
    <w:p>
      <w:pPr>
        <w:ind w:left="500" w:hanging="49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Expand into New Markets and Geographies</w:t>
      </w:r>
    </w:p>
    <w:p>
      <w:pPr>
        <w:spacing w:after="0" w:line="80" w:lineRule="exact"/>
        <w:rPr>
          <w:rFonts w:ascii="Arial" w:cs="Arial" w:eastAsia="Arial" w:hAnsi="Arial"/>
          <w:sz w:val="18"/>
          <w:szCs w:val="18"/>
          <w:color w:val="auto"/>
        </w:rPr>
      </w:pPr>
    </w:p>
    <w:p>
      <w:pPr>
        <w:ind w:left="1020" w:right="140" w:hanging="500"/>
        <w:spacing w:after="0" w:line="23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Enter and Disrupt New and Adjacent Markets through Technology Innovation: </w:t>
      </w:r>
      <w:r>
        <w:rPr>
          <w:rFonts w:ascii="Arial" w:cs="Arial" w:eastAsia="Arial" w:hAnsi="Arial"/>
          <w:sz w:val="18"/>
          <w:szCs w:val="18"/>
          <w:color w:val="auto"/>
        </w:rPr>
        <w:t>We continue to create or address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adjacent markets using our technological advancements to disrupt existing business models and drive shifts in target markets or user demand. For example, the technological innovations and power of our proprietary Ka-band satellite network enabled us to disrupt the IFC business model and successfully expand our broadband service offerings into the commercial air market. As the capacity and geographic coverage areas of our satellite systems continue to increase with each generation of our high-capacity Ka-band satellite designs, we expect the addressable markets for our broadband technologies, products and services to continue to expand. Higher capacity, more flexible satellites will allow us to offer a broader array of cost-effective, high-quality broadband services that can be tailored to different geographic regions and bandwidth usage demand.</w:t>
      </w:r>
    </w:p>
    <w:p>
      <w:pPr>
        <w:spacing w:after="0" w:line="42" w:lineRule="exact"/>
        <w:rPr>
          <w:rFonts w:ascii="Arial" w:cs="Arial" w:eastAsia="Arial" w:hAnsi="Arial"/>
          <w:sz w:val="18"/>
          <w:szCs w:val="18"/>
          <w:color w:val="auto"/>
        </w:rPr>
      </w:pPr>
    </w:p>
    <w:p>
      <w:pPr>
        <w:ind w:left="1020" w:right="100" w:hanging="500"/>
        <w:spacing w:after="0" w:line="23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Think Beyond Current Customer Requirements to Open New Markets: </w:t>
      </w:r>
      <w:r>
        <w:rPr>
          <w:rFonts w:ascii="Arial" w:cs="Arial" w:eastAsia="Arial" w:hAnsi="Arial"/>
          <w:sz w:val="18"/>
          <w:szCs w:val="18"/>
          <w:color w:val="auto"/>
        </w:rPr>
        <w:t>In our government systems business, we 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market or operational needs that are not currently served by existing communications and encryption products and services, with a view to developing unique or disruptive products and services and creating new addressable markets. In fact, a key component to the continued success of Viasat’s defense business is its expansive portfolio of non-developmental items (NDI), which are designed to rapidly deliver cutting-edge technology solutions well ahead of the traditional government procurement model. Many of our NDI technologies fall within our tactical data links systems, such as BATS-D handheld Link 16 radios and STT KOR-24A 2-channel radios for manned and unmanned applications. Our business model delivers advanced capabilities significantly faster, at lower lifecycle costs and with lower risk to the customer when compared to traditional defense acquisition programs and timelines.</w:t>
      </w:r>
    </w:p>
    <w:p>
      <w:pPr>
        <w:spacing w:after="0" w:line="42" w:lineRule="exact"/>
        <w:rPr>
          <w:rFonts w:ascii="Arial" w:cs="Arial" w:eastAsia="Arial" w:hAnsi="Arial"/>
          <w:sz w:val="18"/>
          <w:szCs w:val="18"/>
          <w:color w:val="auto"/>
        </w:rPr>
      </w:pPr>
    </w:p>
    <w:p>
      <w:pPr>
        <w:ind w:left="1020" w:hanging="500"/>
        <w:spacing w:after="0" w:line="236"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Target International Expansion. </w:t>
      </w:r>
      <w:r>
        <w:rPr>
          <w:rFonts w:ascii="Arial" w:cs="Arial" w:eastAsia="Arial" w:hAnsi="Arial"/>
          <w:sz w:val="18"/>
          <w:szCs w:val="18"/>
          <w:color w:val="auto"/>
        </w:rPr>
        <w:t>With the impending launch of our ViaSat-3 constellation, we have placed tremendous</w:t>
      </w:r>
      <w:r>
        <w:rPr>
          <w:rFonts w:ascii="Arial" w:cs="Arial" w:eastAsia="Arial" w:hAnsi="Arial"/>
          <w:sz w:val="18"/>
          <w:szCs w:val="18"/>
          <w:i w:val="1"/>
          <w:iCs w:val="1"/>
          <w:color w:val="auto"/>
        </w:rPr>
        <w:t xml:space="preserve"> </w:t>
      </w:r>
      <w:r>
        <w:rPr>
          <w:rFonts w:ascii="Arial" w:cs="Arial" w:eastAsia="Arial" w:hAnsi="Arial"/>
          <w:sz w:val="18"/>
          <w:szCs w:val="18"/>
          <w:color w:val="auto"/>
        </w:rPr>
        <w:t>effort on growing our operations, sales/distribution, customer/partner base and regulatory framework globally. We continue to believe that international markets provide attractive opportunities for the long-term growth of our business. As worldwide demand for broadband connectivity continues to grow, we expect that our comprehensive offering of next-generation Ka-band satellites, advanced end-to-end communication systems and ground networking equipment and products, and their ability to enable a wide range of cost-effective, high-speed, high-quality broadband services, will be increasingly attractive internationally. Our ViaSat-2 satellite significantly expanded the geographic coverage area of our broadband services over North and Central America and the primary aeronautical and maritime routes across the Atlantic Ocean, allowing us to bring high-value in-flight services to many more commercial, business and government aircraft within the expanded satellite footprint and launch new, innovative ground-based services in new markets, such as our Community Internet service in Mexico. Ahead of the ViaSat-3 constellation launch, we have leveraged third-party partner satellites (such as Telebras in Brazil, Avanti in EMEA, nbn Co in Australia, Gazprom Space Systems in Russia and China Satcom in China) to create a runway for Viasat to begin offering and trialing service plans internationally as well as build brand presence and name recognition. We have also undertaken a thoughtful approach to mergers and acquisitions to drive international expansion. For example, the acquisition of the remaining interest in Euro Infrastructure Co. is expected to enable us to expand more effectively and rapidly in the EMEA region. Our recent acquisition of RigNet also positions us to further expand into new global markets, as RigNet has customers and operations globally. Finally, we expect our ViaSat-3 and ViaSat-4 global constellations will be enablers for the scalable, long-term global expansion of our business, providing the platform for us to deliver high-quality and affordable broadband connectivity worldwide. Demand profile differs by geographic market, reflecting geographic, economic, political, regulatory and other factors. However, the flexibility, high data capacity and broad geographic coverage area of our second- and third-generation proprietary Ka-band satellites allow us to tailor our service offerings for the opportunities and needs of different geographic markets.</w:t>
      </w:r>
    </w:p>
    <w:p>
      <w:pPr>
        <w:spacing w:after="0" w:line="21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40" w:right="339" w:bottom="1440" w:gutter="0" w:footer="0" w:header="0"/>
        </w:sectPr>
      </w:pPr>
    </w:p>
    <w:bookmarkStart w:id="11" w:name="page12"/>
    <w:bookmarkEnd w:id="11"/>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Prioritize the End-User</w:t>
      </w:r>
    </w:p>
    <w:p>
      <w:pPr>
        <w:spacing w:after="0" w:line="79" w:lineRule="exact"/>
        <w:rPr>
          <w:rFonts w:ascii="Arial" w:cs="Arial" w:eastAsia="Arial" w:hAnsi="Arial"/>
          <w:sz w:val="18"/>
          <w:szCs w:val="18"/>
          <w:color w:val="auto"/>
        </w:rPr>
      </w:pPr>
    </w:p>
    <w:p>
      <w:pPr>
        <w:ind w:left="1520" w:right="60" w:hanging="500"/>
        <w:spacing w:after="0" w:line="237"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Recognize Broadband Connectivity is a Means to an End, not an End in Itself. </w:t>
      </w:r>
      <w:r>
        <w:rPr>
          <w:rFonts w:ascii="Arial" w:cs="Arial" w:eastAsia="Arial" w:hAnsi="Arial"/>
          <w:sz w:val="18"/>
          <w:szCs w:val="18"/>
          <w:color w:val="auto"/>
        </w:rPr>
        <w:t>The value of a broadband network is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it enables. With this understanding, we have worked closely with leading edge and content providers (including companies such as Apple, Facebook, fuboTV and others) to enhance end-users’ experiences with their online and streaming media services over our network, helping them leverage the potential of making affordable broadband available in places where it has never been. We also work with U.S. Government agencies, major airlines and others on multiple continents to help ensure end-users have great — and affordable — broadband experiences on our network. Our ViaSat-3 constellation will help meet end-user demand and the need for global reach. In addition, we work with various international governments to help bring digital and social inclusion to their constituents through efficient satellite-enabled services such as our Community Internet hotspots. By making broadband connectivity accessible to millions of people living in regions where traditional terrestrial and wireless internet services were either non-existent or cost prohibitive, we have been able to help generate positive socio-economic impacts — in education, e-commerce, finance, healthcare and more — at lower bandwidth costs.</w:t>
      </w:r>
    </w:p>
    <w:p>
      <w:pPr>
        <w:spacing w:after="0" w:line="20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Manage for the Long Term</w:t>
      </w:r>
    </w:p>
    <w:p>
      <w:pPr>
        <w:spacing w:after="0" w:line="80" w:lineRule="exact"/>
        <w:rPr>
          <w:rFonts w:ascii="Arial" w:cs="Arial" w:eastAsia="Arial" w:hAnsi="Arial"/>
          <w:sz w:val="18"/>
          <w:szCs w:val="18"/>
          <w:color w:val="auto"/>
        </w:rPr>
      </w:pPr>
    </w:p>
    <w:p>
      <w:pPr>
        <w:ind w:left="1520" w:hanging="500"/>
        <w:spacing w:after="0" w:line="23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Pursue Growth Through Strategic Alliances, Partnering Arrangements and Relationships</w:t>
      </w:r>
      <w:r>
        <w:rPr>
          <w:rFonts w:ascii="Arial" w:cs="Arial" w:eastAsia="Arial" w:hAnsi="Arial"/>
          <w:sz w:val="18"/>
          <w:szCs w:val="18"/>
          <w:color w:val="auto"/>
        </w:rPr>
        <w:t>. We actively seek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joint ventures with companies whose financial, marketing, operational or technological resources can accelerate the introduction of new technologies, service offerings and/or the penetration of new markets. For example, in 2018 we entered into a strategic agreement in Brazil with a local partner to bring high-speed, affordable internet to unserved and underserved communities, which will allow us to gain market insights and build brand awareness in advance of when our ViaSat-3 constellation will provide additional capacity to the region. In our government systems segment, we also regularly enter into teaming arrangements with other government contractors to more effectively capture complex government programs. We have also engaged in strategic relationships with companies that have innovative technologies and products, highly skilled personnel, market presence, or customer relationships and distribution channels that complement our strategy. We may continue to evaluate acquisitions of, or investments in, complementary companies, businesses, products or technologies to supplement our internal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Our customer base is highly diversified. Customers in our satellite services segment reflect the diversity in our broadband service offerings and include residential customers, small and medium-sized businesses, enterprise customers, commercial airlines and Community Internet hotspot users. Customers of our fixed broadband services are obtained through either our direct or partner distribution channels. The customers of our government systems and commercial networks segments include the DoD, the U.S. National Security Agency, the intelligence community, the U.S. Department of Homeland Security, FVEY and other allied foreign governments and militaries, select other U.S. federal, state and local government agencies, commercial and defense contractors, satellite network integrators, large communications service providers and enterprises requiring complex communications and networking solutions. We enter into government contracts either directly with U.S. or foreign governments, or indirectly through domestic or international partners or resellers. In our commercial networks segment, we also act as both a prime contractor and subcontractor for the sale of equipment and services.</w:t>
      </w:r>
    </w:p>
    <w:p>
      <w:pPr>
        <w:spacing w:after="0" w:line="153" w:lineRule="exact"/>
        <w:rPr>
          <w:sz w:val="20"/>
          <w:szCs w:val="20"/>
          <w:color w:val="auto"/>
        </w:rPr>
      </w:pPr>
    </w:p>
    <w:p>
      <w:pPr>
        <w:ind w:right="180" w:firstLine="510"/>
        <w:spacing w:after="0"/>
        <w:rPr>
          <w:sz w:val="20"/>
          <w:szCs w:val="20"/>
          <w:color w:val="auto"/>
        </w:rPr>
      </w:pPr>
      <w:r>
        <w:rPr>
          <w:rFonts w:ascii="Arial" w:cs="Arial" w:eastAsia="Arial" w:hAnsi="Arial"/>
          <w:sz w:val="18"/>
          <w:szCs w:val="18"/>
          <w:color w:val="auto"/>
        </w:rPr>
        <w:t>Revenues from the U.S. Government as an individual customer comprised approximately 30%, 30% and 26% of total revenues for fiscal years 2021, 2020 and 2019, respectively. None of our other customers comprised 10% or more of total revenues in fiscal years 2021, 2020 and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The Federal Acquisition Streamlining Act of 1994 has encouraged the use of commercial type pricing, such as firm-fixed-price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ind w:right="120" w:firstLine="510"/>
        <w:spacing w:after="0"/>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multiple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149" w:lineRule="exact"/>
        <w:rPr>
          <w:sz w:val="20"/>
          <w:szCs w:val="20"/>
          <w:color w:val="auto"/>
        </w:rPr>
      </w:pPr>
    </w:p>
    <w:p>
      <w:pPr>
        <w:ind w:right="20" w:firstLine="510"/>
        <w:spacing w:after="0" w:line="252" w:lineRule="auto"/>
        <w:rPr>
          <w:sz w:val="20"/>
          <w:szCs w:val="20"/>
          <w:color w:val="auto"/>
        </w:rPr>
      </w:pPr>
      <w:r>
        <w:rPr>
          <w:rFonts w:ascii="Arial" w:cs="Arial" w:eastAsia="Arial" w:hAnsi="Arial"/>
          <w:sz w:val="17"/>
          <w:szCs w:val="17"/>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which may include product R&amp;D, for a fixed price and, accordingly, realize the benefit or detriment to the extent that the actual cost of performing the work differs from the contract price. In fiscal year 2021, approximately 10% of our total government revenues were generated from cost-reimbursement contracts with the federal government or our prime contractors, less than 1% from time-and-materials contracts and approximately 90% from fixed-price contracts.</w:t>
      </w:r>
    </w:p>
    <w:p>
      <w:pPr>
        <w:spacing w:after="0" w:line="140" w:lineRule="exact"/>
        <w:rPr>
          <w:sz w:val="20"/>
          <w:szCs w:val="20"/>
          <w:color w:val="auto"/>
        </w:rPr>
      </w:pPr>
    </w:p>
    <w:p>
      <w:pPr>
        <w:ind w:right="300" w:firstLine="510"/>
        <w:spacing w:after="0"/>
        <w:rPr>
          <w:sz w:val="20"/>
          <w:szCs w:val="20"/>
          <w:color w:val="auto"/>
        </w:rPr>
      </w:pPr>
      <w:r>
        <w:rPr>
          <w:rFonts w:ascii="Arial" w:cs="Arial" w:eastAsia="Arial" w:hAnsi="Arial"/>
          <w:sz w:val="18"/>
          <w:szCs w:val="18"/>
          <w:color w:val="auto"/>
        </w:rPr>
        <w:t>Our allowable federal government contract costs and fees are subject to audit and review by the Defense Contracting Management Agency (DCMA) and the Defense Contract Audit Agency (DCAA), as discussed below under “— Regulatory Environment — Other Regulations.”</w:t>
      </w:r>
    </w:p>
    <w:p>
      <w:pPr>
        <w:spacing w:after="0" w:line="149" w:lineRule="exact"/>
        <w:rPr>
          <w:sz w:val="20"/>
          <w:szCs w:val="20"/>
          <w:color w:val="auto"/>
        </w:rPr>
      </w:pPr>
    </w:p>
    <w:p>
      <w:pPr>
        <w:ind w:right="120" w:firstLine="510"/>
        <w:spacing w:after="0" w:line="255" w:lineRule="auto"/>
        <w:rPr>
          <w:sz w:val="20"/>
          <w:szCs w:val="20"/>
          <w:color w:val="auto"/>
        </w:rPr>
      </w:pPr>
      <w:r>
        <w:rPr>
          <w:rFonts w:ascii="Arial" w:cs="Arial" w:eastAsia="Arial" w:hAnsi="Arial"/>
          <w:sz w:val="17"/>
          <w:szCs w:val="17"/>
          <w:color w:val="auto"/>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136" w:lineRule="exact"/>
        <w:rPr>
          <w:sz w:val="20"/>
          <w:szCs w:val="20"/>
          <w:color w:val="auto"/>
        </w:rPr>
      </w:pPr>
    </w:p>
    <w:p>
      <w:pPr>
        <w:jc w:val="both"/>
        <w:ind w:right="40" w:firstLine="510"/>
        <w:spacing w:after="0"/>
        <w:rPr>
          <w:sz w:val="20"/>
          <w:szCs w:val="20"/>
          <w:color w:val="auto"/>
        </w:rPr>
      </w:pPr>
      <w:r>
        <w:rPr>
          <w:rFonts w:ascii="Arial" w:cs="Arial" w:eastAsia="Arial" w:hAnsi="Arial"/>
          <w:sz w:val="18"/>
          <w:szCs w:val="18"/>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w:t>
      </w:r>
    </w:p>
    <w:p>
      <w:pPr>
        <w:spacing w:after="0" w:line="149" w:lineRule="exact"/>
        <w:rPr>
          <w:sz w:val="20"/>
          <w:szCs w:val="20"/>
          <w:color w:val="auto"/>
        </w:rPr>
      </w:pPr>
    </w:p>
    <w:p>
      <w:pPr>
        <w:ind w:right="640" w:firstLine="510"/>
        <w:spacing w:after="0" w:line="246"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ind w:right="460" w:firstLine="510"/>
        <w:spacing w:after="0" w:line="238"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and communications technologies, and new and enhanced products and services, is a significant factor in maintaining or improving our competitive position and our prospects for growth. Therefore, we continue to make significant investments in next-generation satellite technologies and communications product and services development.</w:t>
      </w:r>
    </w:p>
    <w:p>
      <w:pPr>
        <w:spacing w:after="0" w:line="148"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conduct the majority of our R&amp;D activities in-house and have R&amp;D and engineering staff, which includes approximately 3,000 engineers worldwide. Our product development activities focus on products that we consider viable revenue opportunities to support all of our business segments. We incurred $115.8 million, $130.4 million and $123.0 million during fiscal years 2021, 2020 and 2019, respectively, on independent research and development (IR&amp;D) expenses, which comprise R&amp;D not directly funded by a third party. Funded R&amp;D contains a profit component and is therefore not directly comparable to IR&amp;D. As a U.S. Government contractor, we also are able to recover a portion of our IR&amp;D expenses, consisting primarily of salaries and other personnel-related expenses, supplies and prototype materials related to R&amp;D programs.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5"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3" w:name="page14"/>
    <w:bookmarkEnd w:id="13"/>
    <w:p>
      <w:pPr>
        <w:ind w:right="140"/>
        <w:spacing w:after="0" w:line="237" w:lineRule="auto"/>
        <w:rPr>
          <w:sz w:val="20"/>
          <w:szCs w:val="20"/>
          <w:color w:val="auto"/>
        </w:rPr>
      </w:pPr>
      <w:r>
        <w:rPr>
          <w:rFonts w:ascii="Arial" w:cs="Arial" w:eastAsia="Arial" w:hAnsi="Arial"/>
          <w:sz w:val="18"/>
          <w:szCs w:val="18"/>
          <w:color w:val="auto"/>
        </w:rPr>
        <w:t>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5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5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5" w:lineRule="exact"/>
        <w:rPr>
          <w:sz w:val="20"/>
          <w:szCs w:val="20"/>
          <w:color w:val="auto"/>
        </w:rPr>
      </w:pPr>
    </w:p>
    <w:p>
      <w:pPr>
        <w:ind w:right="400" w:firstLine="510"/>
        <w:spacing w:after="0" w:line="246" w:lineRule="auto"/>
        <w:rPr>
          <w:sz w:val="20"/>
          <w:szCs w:val="20"/>
          <w:color w:val="auto"/>
        </w:rPr>
      </w:pPr>
      <w:r>
        <w:rPr>
          <w:rFonts w:ascii="Arial" w:cs="Arial" w:eastAsia="Arial" w:hAnsi="Arial"/>
          <w:sz w:val="18"/>
          <w:szCs w:val="18"/>
          <w:color w:val="auto"/>
        </w:rPr>
        <w:t>We have a sales presence in various domestic and international locations, and we sell our products and services both directly and indirectly through partners, as described below:</w:t>
      </w:r>
    </w:p>
    <w:p>
      <w:pPr>
        <w:spacing w:after="0" w:line="30" w:lineRule="exact"/>
        <w:rPr>
          <w:sz w:val="20"/>
          <w:szCs w:val="20"/>
          <w:color w:val="auto"/>
        </w:rPr>
      </w:pPr>
    </w:p>
    <w:p>
      <w:pPr>
        <w:ind w:left="1000" w:right="20" w:hanging="493"/>
        <w:spacing w:after="0" w:line="23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Satellite Services Sales Organization. </w:t>
      </w:r>
      <w:r>
        <w:rPr>
          <w:rFonts w:ascii="Arial" w:cs="Arial" w:eastAsia="Arial" w:hAnsi="Arial"/>
          <w:sz w:val="18"/>
          <w:szCs w:val="18"/>
          <w:color w:val="auto"/>
        </w:rPr>
        <w:t>Our satellite services sales organization for our broadband internet services sells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both direct and indirect channels. Our residential fixed broadband services are sold directly to customers through our Viasat Internet website, sales call centers and over 1,000 active retail dealers (including DirecTV). Our Community Internet services are sold through local distribution partnerships. Our business internet offerings are sold through a mix of direct sales personnel who work with enterprises and a network of enterprise-focused master agents and wholesale distribution partners. Our commercial aviation offerings are sold direct to airlines, and our business aviation offerings are sold through direct sales and business development personnel as well as through aviation-focused value-added resellers. Our maritime service offerings are sold through direct and indirect value-added reseller partners targeting a variety of maritime commercial prospects. In each case, our focus is to identify business opportunities and develop solutions for the unique needs of each customer segment.</w:t>
      </w:r>
    </w:p>
    <w:p>
      <w:pPr>
        <w:spacing w:after="0" w:line="42" w:lineRule="exact"/>
        <w:rPr>
          <w:rFonts w:ascii="Arial" w:cs="Arial" w:eastAsia="Arial" w:hAnsi="Arial"/>
          <w:sz w:val="18"/>
          <w:szCs w:val="18"/>
          <w:color w:val="auto"/>
        </w:rPr>
      </w:pPr>
    </w:p>
    <w:p>
      <w:pPr>
        <w:ind w:left="1000" w:right="220" w:hanging="493"/>
        <w:spacing w:after="0" w:line="24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Commercial Networks Sales Organization. </w:t>
      </w:r>
      <w:r>
        <w:rPr>
          <w:rFonts w:ascii="Arial" w:cs="Arial" w:eastAsia="Arial" w:hAnsi="Arial"/>
          <w:sz w:val="18"/>
          <w:szCs w:val="18"/>
          <w:color w:val="auto"/>
        </w:rPr>
        <w:t>Our commercial networks sales organization consists of sales managers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engineers, who act as the primary interface to establish account relationships and determine technical requirements for customer networks. In addition to our sales force, we maintain a highly-trained service staff to provide technical product and service support to our customers. The sales cycle in the commercial network market is often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35" w:lineRule="exact"/>
        <w:rPr>
          <w:rFonts w:ascii="Arial" w:cs="Arial" w:eastAsia="Arial" w:hAnsi="Arial"/>
          <w:sz w:val="18"/>
          <w:szCs w:val="18"/>
          <w:color w:val="auto"/>
        </w:rPr>
      </w:pPr>
    </w:p>
    <w:p>
      <w:pPr>
        <w:ind w:left="1000" w:right="160" w:hanging="493"/>
        <w:spacing w:after="0" w:line="25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Government Systems Sales Organization. </w:t>
      </w:r>
      <w:r>
        <w:rPr>
          <w:rFonts w:ascii="Arial" w:cs="Arial" w:eastAsia="Arial" w:hAnsi="Arial"/>
          <w:sz w:val="17"/>
          <w:szCs w:val="17"/>
          <w:color w:val="auto"/>
        </w:rPr>
        <w:t>Our government systems sales organization consists of both direct sales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who sell our standard products and services,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21" w:lineRule="exact"/>
        <w:rPr>
          <w:rFonts w:ascii="Arial" w:cs="Arial" w:eastAsia="Arial" w:hAnsi="Arial"/>
          <w:sz w:val="17"/>
          <w:szCs w:val="17"/>
          <w:color w:val="auto"/>
        </w:rPr>
      </w:pPr>
    </w:p>
    <w:p>
      <w:pPr>
        <w:ind w:left="1000" w:right="20" w:hanging="493"/>
        <w:spacing w:after="0" w:line="24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To augment our direct sales efforts, we seek to develop key strategic relationships to market and sell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14" w:name="page15"/>
    <w:bookmarkEnd w:id="14"/>
    <w:p>
      <w:pPr>
        <w:ind w:right="200" w:firstLine="510"/>
        <w:spacing w:after="0" w:line="236" w:lineRule="auto"/>
        <w:rPr>
          <w:sz w:val="20"/>
          <w:szCs w:val="20"/>
          <w:color w:val="auto"/>
        </w:rPr>
      </w:pPr>
      <w:r>
        <w:rPr>
          <w:rFonts w:ascii="Arial" w:cs="Arial" w:eastAsia="Arial" w:hAnsi="Arial"/>
          <w:sz w:val="18"/>
          <w:szCs w:val="18"/>
          <w:color w:val="auto"/>
        </w:rPr>
        <w:t>Our marketing team works closely with our corporate and business segment leadership, customer account executives, and business development, sales and operations organizations to increase the awareness of the Viasat brand through a mix of positive program performance, agile, results-oriented multichannel marketing campaigns that reflect new and evolving customer journeys, public relations, paid media, live and virtual trade show participation and conference speaking engagements that keep the market current on our services, products and features. Viasat products and services, both in the U.S. and internationally, are typically sold under one unified master global brand, using a single logo and visual identity system. Our marketing team also identifies and sizes new and adjacent target markets for our products and services, creates awareness of our company and our portfolio of offerings, and generates contacts and leads within these targeted markets.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compete, we emphasize:</w:t>
      </w:r>
    </w:p>
    <w:p>
      <w:pPr>
        <w:spacing w:after="0" w:line="63"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high-speed, high-quality and broad geographic availability of our broadband services;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deep understanding of our customers’ unique expectations and requirements;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demonstrated performance in uniquely challenging environments;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advanced security and information assurance capabilities;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innovative and flexible features integrated into our products and services;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network management experience;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end-to-end network implementation capabilities;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distinct advantages of satellite data networks;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technical advantages and advanced features of our antenna systems as compared to our competitors’ offerings;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overall cost-effectiveness of our communications systems, products and services.</w:t>
      </w:r>
    </w:p>
    <w:p>
      <w:pPr>
        <w:spacing w:after="0" w:line="171" w:lineRule="exact"/>
        <w:rPr>
          <w:sz w:val="20"/>
          <w:szCs w:val="20"/>
          <w:color w:val="auto"/>
        </w:rPr>
      </w:pPr>
    </w:p>
    <w:p>
      <w:pPr>
        <w:ind w:right="180" w:firstLine="510"/>
        <w:spacing w:after="0" w:line="246" w:lineRule="auto"/>
        <w:rPr>
          <w:sz w:val="20"/>
          <w:szCs w:val="20"/>
          <w:color w:val="auto"/>
        </w:rPr>
      </w:pPr>
      <w:r>
        <w:rPr>
          <w:rFonts w:ascii="Arial" w:cs="Arial" w:eastAsia="Arial" w:hAnsi="Arial"/>
          <w:sz w:val="18"/>
          <w:szCs w:val="18"/>
          <w:color w:val="auto"/>
        </w:rPr>
        <w:t>While we believe we compete successfully on each of these factors, we expect to continue to face intense competition in each of our markets.</w:t>
      </w:r>
    </w:p>
    <w:p>
      <w:pPr>
        <w:spacing w:after="0" w:line="143"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our satellite services segment, we face competition for fixed broadband services both from existing competitors and emerging technologies. Our fixed broadband service offerings compete with broadband service offerings from wireline and wireless telecommunications companies, including cable companies, fiber and DSL companies, satellite companies and fixed wireless companies. Many of our competitors are larger than us, have substantial capital resources, have greater brand recognition, have access to spectrum or technologies not available to us, or are able to offer bundled service offerings that we are not able to duplicate, all of which may reduce demand for our broadband services. This has in part driven our strategic focus on suburban and rural geographies outside of the cable and fiber competitive footprint. New entrants, some with significant financial resources and new emerging technologies (including terrestrial and space-based networks, such as LEO and MEO constellations) may compete with our broadband service offerings. Additionally, wireless telecommunications carriers such as AT&amp;T, T-Mobile and Verizon are currently offering unlimited wireless data plans that could attract our existing and future subscribers. Our IFC and W-IFE service offerings compete against air-to-ground mobile services and other satellite-based services, such as the services offered by Global Eagle Entertainment, Gogo, Intelsat, Inmarsat and Panasonic Avionics Corporation, and in the future may compete against companies pursuing LEO and MEO constellations.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5" w:name="page16"/>
    <w:bookmarkEnd w:id="15"/>
    <w:p>
      <w:pPr>
        <w:ind w:right="40" w:firstLine="510"/>
        <w:spacing w:after="0" w:line="238" w:lineRule="auto"/>
        <w:rPr>
          <w:sz w:val="20"/>
          <w:szCs w:val="20"/>
          <w:color w:val="auto"/>
        </w:rPr>
      </w:pPr>
      <w:r>
        <w:rPr>
          <w:rFonts w:ascii="Arial" w:cs="Arial" w:eastAsia="Arial" w:hAnsi="Arial"/>
          <w:sz w:val="18"/>
          <w:szCs w:val="18"/>
          <w:color w:val="auto"/>
        </w:rPr>
        <w:t>In our commercial networks segment, we compete with numerous other providers of satellite and terrestrial communications systems, products and equipment, including: Airbus, CPI SATCOM &amp; Antenna Technologies Division, Comtech, EchoStar (Hughes Network Systems), General Dynamics, Gilat, L3Harris, Panasonic, Safran Aerosystems, Space Systems/Loral (SS/L) (MAXAR), ST Engineering iDirect and Thales Group. In addition, some of our customers continuously evaluate whether to develop and manufacture their own products and could elect to compete with us at any time.</w:t>
      </w:r>
    </w:p>
    <w:p>
      <w:pPr>
        <w:spacing w:after="0" w:line="148"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Within our government systems segment, we generally compete with government communications service providers and manufacturers of defense electronics products, systems or subsystems, such as BAE Systems, Collins Aerospace, General Dynamics, Inmarsat, Intelsat, L3Harris and similar companies. We may also compete directly with the largest defense prime contractors, including Boeing, Lockheed Martin, Northrop Grumman and Raytheon Technologies Corporation. In many cases we partner with our competitors, and therefore maintaining an open and cooperative relationship is important.</w:t>
      </w:r>
    </w:p>
    <w:p>
      <w:pPr>
        <w:spacing w:after="0" w:line="148"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Many of our competitors in our commercial networks and government systems segments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48"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Contract manufacturers produce products for many different customers and are able to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CyberTAN, IEC Electronics Corporation, L3Harris, Microelectronics Technology, Plexus, Regal Technology Partners and Sanmina.</w:t>
      </w:r>
    </w:p>
    <w:p>
      <w:pPr>
        <w:spacing w:after="0" w:line="151" w:lineRule="exact"/>
        <w:rPr>
          <w:sz w:val="20"/>
          <w:szCs w:val="20"/>
          <w:color w:val="auto"/>
        </w:rPr>
      </w:pPr>
    </w:p>
    <w:p>
      <w:pPr>
        <w:ind w:right="40" w:firstLine="510"/>
        <w:spacing w:after="0" w:line="235" w:lineRule="auto"/>
        <w:rPr>
          <w:sz w:val="20"/>
          <w:szCs w:val="20"/>
          <w:color w:val="auto"/>
        </w:rPr>
      </w:pPr>
      <w:r>
        <w:rPr>
          <w:rFonts w:ascii="Arial" w:cs="Arial" w:eastAsia="Arial" w:hAnsi="Arial"/>
          <w:sz w:val="18"/>
          <w:szCs w:val="18"/>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Our internal manufacturing capability is dependent on the availability of essential materials, parts and subassemblies from our suppliers and subcontractors. We use numerous sources for the wide array of raw materials required for our operations and our products, such as electronic components, printed circuit boards, metals and plastics. Although alternative sources generally exist for these raw materials, qualification of the sources could take a year or more.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Regulatory Environment</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are required to comply with the laws and regulations of, and often obtain approvals from, national and local authorities in connection with the services that we provide. In particular, we provide a number of services that rely on the use of radio-frequency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systems in certain circumstances, and more generally are intended to avoid the occurrence of harmful interference among different users of the radio spectrum.</w:t>
      </w:r>
    </w:p>
    <w:p>
      <w:pPr>
        <w:spacing w:after="0" w:line="151" w:lineRule="exact"/>
        <w:rPr>
          <w:sz w:val="20"/>
          <w:szCs w:val="20"/>
          <w:color w:val="auto"/>
        </w:rPr>
      </w:pPr>
    </w:p>
    <w:p>
      <w:pPr>
        <w:ind w:right="240" w:firstLine="510"/>
        <w:spacing w:after="0" w:line="238"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U.S. procurement laws and regulations.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International Telecommunication Union (ITU)</w:t>
      </w:r>
    </w:p>
    <w:p>
      <w:pPr>
        <w:spacing w:after="0" w:line="99" w:lineRule="exact"/>
        <w:rPr>
          <w:sz w:val="20"/>
          <w:szCs w:val="20"/>
          <w:color w:val="auto"/>
        </w:rPr>
      </w:pPr>
    </w:p>
    <w:p>
      <w:pPr>
        <w:ind w:right="280" w:firstLine="510"/>
        <w:spacing w:after="0" w:line="237" w:lineRule="auto"/>
        <w:rPr>
          <w:sz w:val="20"/>
          <w:szCs w:val="20"/>
          <w:color w:val="auto"/>
        </w:rPr>
      </w:pPr>
      <w:r>
        <w:rPr>
          <w:rFonts w:ascii="Arial" w:cs="Arial" w:eastAsia="Arial" w:hAnsi="Arial"/>
          <w:sz w:val="18"/>
          <w:szCs w:val="18"/>
          <w:color w:val="auto"/>
        </w:rPr>
        <w:t>The orbital location and frequencies for our satellites are subject to the ITU’s regulations, including its frequency registration and coordination procedures, and its various provisions on spectrum usage. Those procedures are specified in the ITU Radio Regulations and seek to facilitate shared international use of limited spectrum and orbital resources in a manner that avoids harmful interference. Among other things, the ITU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w:t>
      </w:r>
    </w:p>
    <w:p>
      <w:pPr>
        <w:spacing w:after="0" w:line="151" w:lineRule="exact"/>
        <w:rPr>
          <w:sz w:val="20"/>
          <w:szCs w:val="20"/>
          <w:color w:val="auto"/>
        </w:rPr>
      </w:pPr>
    </w:p>
    <w:p>
      <w:pPr>
        <w:jc w:val="both"/>
        <w:ind w:right="220" w:firstLine="510"/>
        <w:spacing w:after="0"/>
        <w:rPr>
          <w:sz w:val="20"/>
          <w:szCs w:val="20"/>
          <w:color w:val="auto"/>
        </w:rPr>
      </w:pPr>
      <w:r>
        <w:rPr>
          <w:rFonts w:ascii="Arial" w:cs="Arial" w:eastAsia="Arial" w:hAnsi="Arial"/>
          <w:sz w:val="18"/>
          <w:szCs w:val="18"/>
          <w:color w:val="auto"/>
        </w:rPr>
        <w:t>The ITU regulations provide allocations or designations for how spectrum can be used for various purposes, and whether such uses operate on a primary or secondary basis with respect to one another. Secondary uses may not cause harmful interference to primary uses, and may not claim interference protection from primary uses.</w:t>
      </w:r>
    </w:p>
    <w:p>
      <w:pPr>
        <w:spacing w:after="0" w:line="14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On our behalf, various countries have made ITU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or requirements are not satisfied, we may be compelled to accept more limited or suboptimal orbital and spectrum rights, to operate the applicable satellite(s) on a non-interference basis, or to cease operating such satellite(s) altogether. The orbital arc is becoming increasingly congested with respect to such ITU filings and the satellite networks operated under those filings.</w:t>
      </w:r>
    </w:p>
    <w:p>
      <w:pPr>
        <w:spacing w:after="0" w:line="151" w:lineRule="exact"/>
        <w:rPr>
          <w:sz w:val="20"/>
          <w:szCs w:val="20"/>
          <w:color w:val="auto"/>
        </w:rPr>
      </w:pPr>
    </w:p>
    <w:p>
      <w:pPr>
        <w:jc w:val="both"/>
        <w:ind w:right="20" w:firstLine="510"/>
        <w:spacing w:after="0" w:line="238" w:lineRule="auto"/>
        <w:rPr>
          <w:sz w:val="20"/>
          <w:szCs w:val="20"/>
          <w:color w:val="auto"/>
        </w:rPr>
      </w:pPr>
      <w:r>
        <w:rPr>
          <w:rFonts w:ascii="Arial" w:cs="Arial" w:eastAsia="Arial" w:hAnsi="Arial"/>
          <w:sz w:val="18"/>
          <w:szCs w:val="18"/>
          <w:color w:val="auto"/>
        </w:rPr>
        <w:t>In addition, the ITU’s Radio Regulations are subject to change at periodic ITU World Radio-communication Conferences (WRCs), and their application is determined by various governing bodies within the ITU. WRCs typically are convened approximately every four years, with the next one scheduled to occur in 2023. The next WRC is considering various changes to the Radio Regulations that address the terms and conditions under which spectrum is used for satellite and terrestrial and purposes, and future WRCs are likely to do the same.</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Spectrum</w:t>
      </w:r>
    </w:p>
    <w:p>
      <w:pPr>
        <w:spacing w:after="0" w:line="85"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The space stations and ground networks we use to provide our broadband services rely on access to spectrum within each country in which we do business. Use of such spectrum is authorized by regulatory authorities within each country (or a regional authority whose jurisdiction over spectrum rights encompasses that country), which determine the terms and conditions for access to and use of that spectrum in that particular country. The terms and conditions for access can and do vary by country, may differ from the ITU’s Radio regulations, and may change over time. In particular, the growing demand for both satellite and terrestrial communications services is causing many countries to evaluate how spectrum is used within their borders, and to consider changes in the local terms and conditions for access to and use of spectrum. Those terms and conditions affect, among other things, the extent to which, and how, we must share spectrum with other spectrum users, including terrestrial and satellite uses, and whether we must operate on a secondary basis in some cases. Most of the spectrum on which we rely is shared with other satellite networks, including those operating in different orbits that could cross our orbital location and result in interference conditions. In many countries, portions of the spectrum on which we rely also are shared with terrestrial wireless services.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 w:name="page18"/>
    <w:bookmarkEnd w:id="17"/>
    <w:p>
      <w:pPr>
        <w:ind w:right="60" w:firstLine="510"/>
        <w:spacing w:after="0" w:line="238" w:lineRule="auto"/>
        <w:rPr>
          <w:sz w:val="20"/>
          <w:szCs w:val="20"/>
          <w:color w:val="auto"/>
        </w:rPr>
      </w:pPr>
      <w:r>
        <w:rPr>
          <w:rFonts w:ascii="Arial" w:cs="Arial" w:eastAsia="Arial" w:hAnsi="Arial"/>
          <w:sz w:val="18"/>
          <w:szCs w:val="18"/>
          <w:color w:val="auto"/>
        </w:rPr>
        <w:t>If the deployment of new terrestrial or satellite networks results in harmful interference into our satellite operations, or if the implementation of those networks under newly adopted terms and conditions constrains or prohibits the types of spectrum uses for which we have planned in a manner that we do not anticipate, such developments could have a material adverse effect on our business, financial condition and results of operations.</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Broadband Services</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provide high-speed broadband internet access and VoIP services to customers in the United States, as well as in Europe and Latin America and on aircraft and seagoing vessels travelling around the world. Our provision of these services is subject to a number of legal obligations, including requirements to obtain licenses, authorizations and/or registrations to provide service in or to a given jurisdiction, implementation of certain network capabilities to assist law enforcement, and open internet requirements. Legislators and regulators often consider changes to existing statutes, rules and requirements, or prescribe new ones, which could significantly impact the ability to comply, or the costs of complying with, these types of obligations, or that otherwise could materially and adversely affect our ability to provide service in a given jurisdiction.</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Regulation</w:t>
      </w:r>
    </w:p>
    <w:p>
      <w:pPr>
        <w:spacing w:after="0" w:line="85" w:lineRule="exact"/>
        <w:rPr>
          <w:sz w:val="20"/>
          <w:szCs w:val="20"/>
          <w:color w:val="auto"/>
        </w:rPr>
      </w:pPr>
    </w:p>
    <w:p>
      <w:pPr>
        <w:ind w:right="340" w:firstLine="510"/>
        <w:spacing w:after="0" w:line="238" w:lineRule="auto"/>
        <w:rPr>
          <w:sz w:val="20"/>
          <w:szCs w:val="20"/>
          <w:color w:val="auto"/>
        </w:rPr>
      </w:pPr>
      <w:r>
        <w:rPr>
          <w:rFonts w:ascii="Arial" w:cs="Arial" w:eastAsia="Arial" w:hAnsi="Arial"/>
          <w:sz w:val="18"/>
          <w:szCs w:val="18"/>
          <w:color w:val="auto"/>
        </w:rPr>
        <w:t>The commercial use of radio-frequency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p>
    <w:p>
      <w:pPr>
        <w:spacing w:after="0" w:line="133" w:lineRule="exact"/>
        <w:rPr>
          <w:sz w:val="20"/>
          <w:szCs w:val="20"/>
          <w:color w:val="auto"/>
        </w:rPr>
      </w:pPr>
    </w:p>
    <w:p>
      <w:pPr>
        <w:ind w:firstLine="510"/>
        <w:spacing w:after="0" w:line="241" w:lineRule="auto"/>
        <w:rPr>
          <w:sz w:val="20"/>
          <w:szCs w:val="20"/>
          <w:color w:val="auto"/>
        </w:rPr>
      </w:pPr>
      <w:r>
        <w:rPr>
          <w:rFonts w:ascii="Arial" w:cs="Arial" w:eastAsia="Arial" w:hAnsi="Arial"/>
          <w:sz w:val="18"/>
          <w:szCs w:val="18"/>
          <w:i w:val="1"/>
          <w:iCs w:val="1"/>
          <w:color w:val="auto"/>
        </w:rPr>
        <w:t xml:space="preserve">Earth Stations. </w:t>
      </w:r>
      <w:r>
        <w:rPr>
          <w:rFonts w:ascii="Arial" w:cs="Arial" w:eastAsia="Arial" w:hAnsi="Arial"/>
          <w:sz w:val="18"/>
          <w:szCs w:val="18"/>
          <w:color w:val="auto"/>
        </w:rPr>
        <w:t>The Communications Act requires a license for the operation of transmitting satellite earth station facilities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 15 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p>
    <w:p>
      <w:pPr>
        <w:spacing w:after="0" w:line="130" w:lineRule="exact"/>
        <w:rPr>
          <w:sz w:val="20"/>
          <w:szCs w:val="20"/>
          <w:color w:val="auto"/>
        </w:rPr>
      </w:pPr>
    </w:p>
    <w:p>
      <w:pPr>
        <w:ind w:right="40" w:firstLine="510"/>
        <w:spacing w:after="0" w:line="241"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 licensed spacecraft to be used to serve the United States. The FCC has authorized the use of the ViaSat-1, ViaSat-2, WildBlue-1, Anik F2 and one ViaSat-3 class spacecraft to serve the United States. The FCC also has granted us the right to use certain future spacecraft to serve the United States, as long as we implement those spacecraft by certain deadlines. The use of these spacecraft in our business is subject to various conditions in the underlying authorizations, as well as the technical and operational requirements of the FCC’s rules and regulations.</w:t>
      </w:r>
    </w:p>
    <w:p>
      <w:pPr>
        <w:spacing w:after="0" w:line="130"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i w:val="1"/>
          <w:iCs w:val="1"/>
          <w:color w:val="auto"/>
        </w:rPr>
        <w:t xml:space="preserve">Universal Service. </w:t>
      </w:r>
      <w:r>
        <w:rPr>
          <w:rFonts w:ascii="Arial" w:cs="Arial" w:eastAsia="Arial" w:hAnsi="Arial"/>
          <w:sz w:val="18"/>
          <w:szCs w:val="18"/>
          <w:color w:val="auto"/>
        </w:rPr>
        <w:t>Certain of our services may constitute the provision of telecommunications to, from or within the United States,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require us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33.4%. Current FCC rules permit us to pass this universal service contribution through to our customers. The FCC has established universal service funding mechanisms to support the provision of voice and broadband services in certain high-cost areas of the United States. These supporting mechanisms are known as the Connect America Fund (CAF) and the Rural Digital Opportunity Fund (RDOF). Among other things, the CAF and RDOF mechanisms provide, or will likely provide, support to terrestrial service providers under terms and conditions that are not available to satellite-based service providers. The CAF and RDOF mechanisms could provide other service providers a competitive advantage in providing broadband services in supported areas, which could have a material adverse effect on our business, financial condition and results of operations. Additionally, Viasat has been selected as the winning bidder with respect to $122.5 million in support under the CAF program to serve certain portions of the country, and must comply with federal and state obligations imposed in connection with such support.</w:t>
      </w:r>
    </w:p>
    <w:p>
      <w:pPr>
        <w:spacing w:after="0" w:line="139" w:lineRule="exact"/>
        <w:rPr>
          <w:sz w:val="20"/>
          <w:szCs w:val="20"/>
          <w:color w:val="auto"/>
        </w:rPr>
      </w:pPr>
    </w:p>
    <w:p>
      <w:pPr>
        <w:ind w:right="140" w:firstLine="510"/>
        <w:spacing w:after="0" w:line="250"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telecommunications providers and broadband internet access providers to ensure that law enforcement agencies are able to conduct lawfully-authorized surveillance of users of their services.</w:t>
      </w:r>
    </w:p>
    <w:p>
      <w:pPr>
        <w:spacing w:after="0" w:line="123" w:lineRule="exact"/>
        <w:rPr>
          <w:sz w:val="20"/>
          <w:szCs w:val="20"/>
          <w:color w:val="auto"/>
        </w:rPr>
      </w:pPr>
    </w:p>
    <w:p>
      <w:pPr>
        <w:ind w:right="260" w:firstLine="510"/>
        <w:spacing w:after="0" w:line="255" w:lineRule="auto"/>
        <w:rPr>
          <w:sz w:val="20"/>
          <w:szCs w:val="20"/>
          <w:color w:val="auto"/>
        </w:rPr>
      </w:pPr>
      <w:r>
        <w:rPr>
          <w:rFonts w:ascii="Arial" w:cs="Arial" w:eastAsia="Arial" w:hAnsi="Arial"/>
          <w:sz w:val="17"/>
          <w:szCs w:val="17"/>
          <w:i w:val="1"/>
          <w:iCs w:val="1"/>
          <w:color w:val="auto"/>
        </w:rPr>
        <w:t xml:space="preserve">Net Neutrality. </w:t>
      </w:r>
      <w:r>
        <w:rPr>
          <w:rFonts w:ascii="Arial" w:cs="Arial" w:eastAsia="Arial" w:hAnsi="Arial"/>
          <w:sz w:val="17"/>
          <w:szCs w:val="17"/>
          <w:color w:val="auto"/>
        </w:rPr>
        <w:t>In February 2015, the FCC adopted new rules intended to preserve the openness of the internet, a concept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“net neutrality” or “open internet.” The FCC’s “net neutrality” rules, among other things, prohibited all ISPs from: (i) blocking access to legal content, applications, services, or non-harmful devices (subject to an exception for “reasonable network management”);</w:t>
      </w:r>
    </w:p>
    <w:p>
      <w:pPr>
        <w:spacing w:after="0" w:line="2" w:lineRule="exact"/>
        <w:rPr>
          <w:sz w:val="20"/>
          <w:szCs w:val="20"/>
          <w:color w:val="auto"/>
        </w:rPr>
      </w:pPr>
    </w:p>
    <w:p>
      <w:pPr>
        <w:ind w:right="280" w:firstLine="8"/>
        <w:spacing w:after="0" w:line="246" w:lineRule="auto"/>
        <w:tabs>
          <w:tab w:leader="none" w:pos="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impairing or degrading lawful internet traffic on the basis of content, applications, services, or non-harmful devices (subject to the same exception); (iii) favoring some lawful internet traffic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ind w:right="380"/>
        <w:spacing w:after="0" w:line="238" w:lineRule="auto"/>
        <w:rPr>
          <w:sz w:val="20"/>
          <w:szCs w:val="20"/>
          <w:color w:val="auto"/>
        </w:rPr>
      </w:pPr>
      <w:r>
        <w:rPr>
          <w:rFonts w:ascii="Arial" w:cs="Arial" w:eastAsia="Arial" w:hAnsi="Arial"/>
          <w:sz w:val="18"/>
          <w:szCs w:val="18"/>
          <w:color w:val="auto"/>
        </w:rPr>
        <w:t>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w:t>
      </w:r>
    </w:p>
    <w:p>
      <w:pPr>
        <w:spacing w:after="0" w:line="15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8"/>
          <w:szCs w:val="18"/>
          <w:i w:val="1"/>
          <w:iCs w:val="1"/>
          <w:color w:val="auto"/>
        </w:rPr>
        <w:t>not</w:t>
      </w:r>
      <w:r>
        <w:rPr>
          <w:rFonts w:ascii="Arial" w:cs="Arial" w:eastAsia="Arial" w:hAnsi="Arial"/>
          <w:sz w:val="18"/>
          <w:szCs w:val="18"/>
          <w:color w:val="auto"/>
        </w:rPr>
        <w:t xml:space="preserve"> subject to such regulation. Such common-carrier regulation potentially could have included review of the reasonableness of an ISP’s rates and practices.</w:t>
      </w:r>
    </w:p>
    <w:p>
      <w:pPr>
        <w:spacing w:after="0" w:line="14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January 2018, the FCC adopted an order restoring the classification of broadband internet access service as a lightly regulated information service, ending the Title II regulatory approach adopted in 2015. The order eliminated explicit requirements against blocking or throttling traffic and paid prioritization of traffic. At the same time, the FCC maintained the consumer disclosure requirements with some modifications and acknowledged the jurisdiction of the Federal Trade Commission to enforce consumer protection measures. The 2018 order was largely upheld by the D.C. Circuit. In addition, legislative proposals that would restore net neutrality requirements are being considered in Congress, and some states have recently adopted portions of the net neutrality requirements. Some legislative actions at the state level are being challenged in courts on federal preemption and other grounds. We cannot predict the outcome of these pending lawsuits and legislative efforts, or any resulting impact on ISPs.</w:t>
      </w:r>
    </w:p>
    <w:p>
      <w:pPr>
        <w:spacing w:after="0" w:line="163" w:lineRule="exact"/>
        <w:rPr>
          <w:sz w:val="20"/>
          <w:szCs w:val="20"/>
          <w:color w:val="auto"/>
        </w:rPr>
      </w:pPr>
    </w:p>
    <w:p>
      <w:pPr>
        <w:ind w:right="40" w:firstLine="510"/>
        <w:spacing w:after="0" w:line="239" w:lineRule="auto"/>
        <w:rPr>
          <w:sz w:val="20"/>
          <w:szCs w:val="20"/>
          <w:color w:val="auto"/>
        </w:rPr>
      </w:pPr>
      <w:r>
        <w:rPr>
          <w:rFonts w:ascii="Arial" w:cs="Arial" w:eastAsia="Arial" w:hAnsi="Arial"/>
          <w:sz w:val="18"/>
          <w:szCs w:val="18"/>
          <w:i w:val="1"/>
          <w:iCs w:val="1"/>
          <w:color w:val="auto"/>
        </w:rPr>
        <w:t>Privacy and Data Security</w:t>
      </w:r>
      <w:r>
        <w:rPr>
          <w:rFonts w:ascii="Arial" w:cs="Arial" w:eastAsia="Arial" w:hAnsi="Arial"/>
          <w:sz w:val="18"/>
          <w:szCs w:val="18"/>
          <w:color w:val="auto"/>
        </w:rPr>
        <w:t>. We are subject to federal and state laws concerning privacy and the handling of consumers’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Certain of these laws provide privacy protections for customer proprietary network information related to our voice services. The Federal Trade Commission also oversees consumer privacy and data security more broadly through its authority to take enforcement action for unfair or deceptive practices, and state consumer protection laws can prompt review of privacy practices by state attorneys general. In addition, certain states have established specific consumer privacy and data security requirements, including the California Consumer Privacy Act (CCPA) and the California Privacy Rights Act that will amend the CCPA in January 2023, which combined give California residents the right to receive certain disclosures regarding the collection, use, and disclosure of personal information, as well as rights to access, delete, and restrict the sale and sharing of certain personal information collected about them by us and our service providers. State laws continue to evolve, and as various states introduce similar proposals, we and our business customers and partners could be exposed to additional regulatory obligations. Many states also have enacted security breach notification laws requiring notice to consumers and government agencies upon disclosure of certain information to an unauthorized party resulting from a security breach.</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99"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Our operation of spacecraft and ground network and our provision of services to customers outside of the United States are subject to legal requirements of the jurisdictions issuing the satellite authorizations and in which Viasat provides services. These include obtaining the market access, spectrum access and licenses, authorizations and/or registrations that are necessary to operate or provide service in or to a given jurisdiction, and in many cases licenses for the operation of transmitting satellite earth station facilities and certain receiving satellite earth station facilities. In particular, we must obtain authority to operate various earth stations outside the United States, including but not limited to user terminals and facilities that aggregate traffic and interconnect with the internet backbone and network hubs. This authority is subject to conditions and limitations that vary from jurisdiction to jurisdiction.</w:t>
      </w:r>
    </w:p>
    <w:p>
      <w:pPr>
        <w:spacing w:after="0" w:line="149" w:lineRule="exact"/>
        <w:rPr>
          <w:sz w:val="20"/>
          <w:szCs w:val="20"/>
          <w:color w:val="auto"/>
        </w:rPr>
      </w:pPr>
    </w:p>
    <w:p>
      <w:pPr>
        <w:ind w:right="100" w:firstLine="510"/>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operates under the authority of the United Kingdom.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9" w:name="page20"/>
    <w:bookmarkEnd w:id="19"/>
    <w:p>
      <w:pPr>
        <w:ind w:right="60" w:firstLine="510"/>
        <w:spacing w:after="0" w:line="236" w:lineRule="auto"/>
        <w:rPr>
          <w:sz w:val="20"/>
          <w:szCs w:val="20"/>
          <w:color w:val="auto"/>
        </w:rPr>
      </w:pPr>
      <w:r>
        <w:rPr>
          <w:rFonts w:ascii="Arial" w:cs="Arial" w:eastAsia="Arial" w:hAnsi="Arial"/>
          <w:sz w:val="18"/>
          <w:szCs w:val="18"/>
          <w:color w:val="auto"/>
        </w:rPr>
        <w:t>We are also subject to certain other forms of foreign regulation in connection with our provision of communications services. In the area of privacy, we are subject to existing, new, and evolving laws and regulations in the markets in which we operate. For instance, certain of our business units are subject to the European Union’s (EU) General Data Protection Regulation (GDPR), which imposes transparency, accountability, data protection, cross-border data transfer, and other obligations on Viasat both as a data controller and a data processor in relation to personal information of individuals in the EU. Privacy laws and regulations can be subject to differing interpretations and may be inconsistent among jurisdictions. Certain foreign jurisdictions in which we operate also impose requirements related to network management practices, cooperation with local law enforcement agencies, and other matters. A smaller number of foreign jurisdictions in which we operate have adopted laws enabling the government to suspend ISP services in the country.</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9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31" w:lineRule="exact"/>
        <w:rPr>
          <w:sz w:val="20"/>
          <w:szCs w:val="20"/>
          <w:color w:val="auto"/>
        </w:rPr>
      </w:pPr>
    </w:p>
    <w:p>
      <w:pPr>
        <w:ind w:right="180" w:firstLine="510"/>
        <w:spacing w:after="0"/>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Other regulators perform similar functions around the world. These types of requirements typically provide for equipment to be tested either by the manufacturer or by a private testing organization to ensure compliance with the applicable technical requirements. In some cases, the regulator requires submission of an application, which must be approved by the regulator or a private testing organization accredited by the regulator.</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U.S. Government and other agency 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Aviation-Related Regulation</w:t>
      </w:r>
    </w:p>
    <w:p>
      <w:pPr>
        <w:spacing w:after="0" w:line="67"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i w:val="1"/>
          <w:iCs w:val="1"/>
          <w:color w:val="auto"/>
        </w:rPr>
        <w:t>Aircraft Modification</w:t>
      </w:r>
      <w:r>
        <w:rPr>
          <w:rFonts w:ascii="Arial" w:cs="Arial" w:eastAsia="Arial" w:hAnsi="Arial"/>
          <w:sz w:val="18"/>
          <w:szCs w:val="18"/>
          <w:color w:val="auto"/>
        </w:rPr>
        <w:t>. The Federal Aviation Administration (FAA) is responsible for the regulation and oversight of civil aviation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The FAA develops and enforces airworthiness standards and regulations that certify the industry’s ability to manufacture aircraft and aircraft components, perform modification and maintenance activities on aircraft, and repair equipment previously installed on aircraft. We interact with the FAA regarding aircraft modification through two main activities: (1) supporting Type Certificate (TC) activity with an aircraft original equipment manufacturer (OEM) to obtain linefit certification of our IFC and W-IFE equipment and (2) obtaining a Supplemental Type Certificate (STC) to enable the retrofit of our IFC and W-IFE equipment. With respect to TC activity, the OEM is responsible for full certification and FAA regulatory compliance and we are responsible for providing certified equipment to the OEM. With respect to STC activity, we typically use Organization Designation Authorization (ODA) to support holding and maintaining our STCs to ensure FAA regulatory compliance. Our commercial aviation business depends on our ability to interact with the FAA and ODAs, as well as FAA-certified engineering professionals, in order to access data and obtain authorizations and approvals.</w:t>
      </w:r>
    </w:p>
    <w:p>
      <w:pPr>
        <w:spacing w:after="0" w:line="134" w:lineRule="exact"/>
        <w:rPr>
          <w:sz w:val="20"/>
          <w:szCs w:val="20"/>
          <w:color w:val="auto"/>
        </w:rPr>
      </w:pPr>
    </w:p>
    <w:p>
      <w:pPr>
        <w:ind w:right="20" w:firstLine="510"/>
        <w:spacing w:after="0" w:line="242" w:lineRule="auto"/>
        <w:rPr>
          <w:sz w:val="20"/>
          <w:szCs w:val="20"/>
          <w:color w:val="auto"/>
        </w:rPr>
      </w:pPr>
      <w:r>
        <w:rPr>
          <w:rFonts w:ascii="Arial" w:cs="Arial" w:eastAsia="Arial" w:hAnsi="Arial"/>
          <w:sz w:val="18"/>
          <w:szCs w:val="18"/>
          <w:i w:val="1"/>
          <w:iCs w:val="1"/>
          <w:color w:val="auto"/>
        </w:rPr>
        <w:t>Parts Manufacturing Approval</w:t>
      </w:r>
      <w:r>
        <w:rPr>
          <w:rFonts w:ascii="Arial" w:cs="Arial" w:eastAsia="Arial" w:hAnsi="Arial"/>
          <w:sz w:val="18"/>
          <w:szCs w:val="18"/>
          <w:color w:val="auto"/>
        </w:rPr>
        <w:t>. We have a wide range of products supporting both commercial and business aviation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FAA, under its Part Manufacturing Approval (PMA) program, provides authorization to entities like us and our vendors to manufacture and deliver IFC and W-IFE equipment. These approvals are provided through assigned FAA Manufacturing Inspection District Offices and are subject to strict rules and ongoing oversight. We have been able to obtain PMA on our entire fleet of current IFC and W-IFE product offerings due to multiple licensing agreements with both OEMs for linefit installations and ODAs for retrofit installations.</w:t>
      </w:r>
    </w:p>
    <w:p>
      <w:pPr>
        <w:spacing w:after="0" w:line="131" w:lineRule="exact"/>
        <w:rPr>
          <w:sz w:val="20"/>
          <w:szCs w:val="20"/>
          <w:color w:val="auto"/>
        </w:rPr>
      </w:pPr>
    </w:p>
    <w:p>
      <w:pPr>
        <w:ind w:firstLine="510"/>
        <w:spacing w:after="0" w:line="242" w:lineRule="auto"/>
        <w:rPr>
          <w:sz w:val="20"/>
          <w:szCs w:val="20"/>
          <w:color w:val="auto"/>
        </w:rPr>
      </w:pPr>
      <w:r>
        <w:rPr>
          <w:rFonts w:ascii="Arial" w:cs="Arial" w:eastAsia="Arial" w:hAnsi="Arial"/>
          <w:sz w:val="18"/>
          <w:szCs w:val="18"/>
          <w:i w:val="1"/>
          <w:iCs w:val="1"/>
          <w:color w:val="auto"/>
        </w:rPr>
        <w:t>FAA Part 145 Repair Stations</w:t>
      </w:r>
      <w:r>
        <w:rPr>
          <w:rFonts w:ascii="Arial" w:cs="Arial" w:eastAsia="Arial" w:hAnsi="Arial"/>
          <w:sz w:val="18"/>
          <w:szCs w:val="18"/>
          <w:color w:val="auto"/>
        </w:rPr>
        <w:t>. The FAA has approved several of our locations as 14 CFR Part 145 repair stations, which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ongoing support to customers with respect to our IFC and W-IFE systems. These repair stations support both line-replaceable unit (LRU) and line maintenance activities associated with our IFC and W-IFE products. These approvals are provided and overseen by FAA Flight Standards District Offices. We have also obtained European Aviation Safety Agency (EASA) approval for our repair stations dedicated to LRU repair and maintenance for our IFC and W-IFE products.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9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159"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We are also subject to a variety of U.S. and international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In our satellite services segment, historically subscriber activity for our fixed broadband services has been influenced by seasonal effects related to traditional retail selling periods, with new sales activity generally anticipated to be higher in the second half of the calendar year. However, sales activity and churn can be strongly affected by other factors which may either offset or magnify any anticipated seasonal effects, including availability of capacity, promotional and subscriber retention efforts, changes in our resellers, distributors and wholesalers, changes in the competitive landscape, economic conditions, and changes in credit check and subscriber approval processes.</w:t>
      </w:r>
    </w:p>
    <w:p>
      <w:pPr>
        <w:spacing w:after="0" w:line="148" w:lineRule="exact"/>
        <w:rPr>
          <w:sz w:val="20"/>
          <w:szCs w:val="20"/>
          <w:color w:val="auto"/>
        </w:rPr>
      </w:pPr>
    </w:p>
    <w:p>
      <w:pPr>
        <w:jc w:val="both"/>
        <w:ind w:right="40" w:firstLine="510"/>
        <w:spacing w:after="0"/>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and the timing and availability of U.S. Government funding, as well as the timing of product deliveries and customer acceptance.</w:t>
      </w:r>
    </w:p>
    <w:p>
      <w:pPr>
        <w:spacing w:after="0" w:line="14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While the above-described trends have been observed consistently in recent years, we cannot predict with any certainty whether they will continue in the near future as the economy and our customers continue to react to the COVID-19 pandemic and experience associated disruptions and dislocations. See the section entitled “Management’s Discussion and Analysis of Financial Condition and Results of Operations — COVID-19” in Item 7 for a discussion of the impact of the COVID-19 pandemic on our satellite services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67" w:lineRule="exact"/>
        <w:rPr>
          <w:sz w:val="20"/>
          <w:szCs w:val="20"/>
          <w:color w:val="auto"/>
        </w:rPr>
      </w:pPr>
    </w:p>
    <w:p>
      <w:pPr>
        <w:ind w:right="60" w:firstLine="510"/>
        <w:spacing w:after="0" w:line="242"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The information on our website is not part of this report or any other report that we furnish to or file with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As of March 31, 2021, we employed approximately 5,800 individuals worldwide, with 91% of our workforce located in the United States. We consistently engage with our employees and generally consider the relationships with our employees to be positive, with a significant majority stating that they are proud to work at Viasat. Competition for technical personnel in our industry is intense. We believe our future success depends in part on our continued ability to attract, hire, engage and retain qualified personnel.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1" w:name="page22"/>
    <w:bookmarkEnd w:id="21"/>
    <w:p>
      <w:pPr>
        <w:ind w:firstLine="510"/>
        <w:spacing w:after="0" w:line="237" w:lineRule="auto"/>
        <w:rPr>
          <w:sz w:val="20"/>
          <w:szCs w:val="20"/>
          <w:color w:val="auto"/>
        </w:rPr>
      </w:pPr>
      <w:r>
        <w:rPr>
          <w:rFonts w:ascii="Arial" w:cs="Arial" w:eastAsia="Arial" w:hAnsi="Arial"/>
          <w:sz w:val="18"/>
          <w:szCs w:val="18"/>
          <w:color w:val="auto"/>
        </w:rPr>
        <w:t>Viasat has a long history of putting people first. We believe that one of the most important investments we make is in our people. Our mission to connect the world depends on our ability to come together as one team to make a positive impact. As a global team, we take pride in our culture of teamwork, trust and collaboration. We prioritize our employees’ health and well-being to ensure we are all able to do our best work. For example, in response to the COVID-19 pandemic, we quickly transitioned teams to a work-from-home model and equipped them with the resources to perform their jobs safely. For certain employees, whose roles needed to be performed onsite, we deployed a robust set of safety protocols aligned with then-current medical best practices and government mandates. We also introduced additional resources and benefits, including mental health and well-being resources and paid time off for COVID-19-related issues.</w:t>
      </w:r>
    </w:p>
    <w:p>
      <w:pPr>
        <w:spacing w:after="0" w:line="149"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Our key pillars of human capital management are ensuring the health and safety of our employees, developing talented people, fostering diversity and inclusion and engaging communities. We believe that our long-term success is in large part dependent on our success across these dimensions, and we will continue to invest in and prioritize these areas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 forth below is information concerning our executive officers and their ages:</w:t>
      </w:r>
    </w:p>
    <w:p>
      <w:pPr>
        <w:spacing w:after="0" w:line="169" w:lineRule="exact"/>
        <w:rPr>
          <w:sz w:val="20"/>
          <w:szCs w:val="20"/>
          <w:color w:val="auto"/>
        </w:rPr>
      </w:pPr>
    </w:p>
    <w:tbl>
      <w:tblPr>
        <w:tblLayout w:type="fixed"/>
        <w:tblInd w:w="700" w:type="dxa"/>
        <w:tblCellMar>
          <w:top w:w="0" w:type="dxa"/>
          <w:left w:w="0" w:type="dxa"/>
          <w:bottom w:w="0" w:type="dxa"/>
          <w:right w:w="0" w:type="dxa"/>
        </w:tblCellMar>
      </w:tblPr>
      <w:tr>
        <w:trPr>
          <w:trHeight w:val="165"/>
        </w:trPr>
        <w:tc>
          <w:tcPr>
            <w:tcW w:w="290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Age</w:t>
            </w:r>
          </w:p>
        </w:tc>
        <w:tc>
          <w:tcPr>
            <w:tcW w:w="5800" w:type="dxa"/>
            <w:vAlign w:val="bottom"/>
          </w:tcPr>
          <w:p>
            <w:pPr>
              <w:spacing w:after="0"/>
              <w:rPr>
                <w:sz w:val="20"/>
                <w:szCs w:val="20"/>
                <w:color w:val="auto"/>
              </w:rPr>
            </w:pPr>
            <w:r>
              <w:rPr>
                <w:rFonts w:ascii="Arial" w:cs="Arial" w:eastAsia="Arial" w:hAnsi="Arial"/>
                <w:sz w:val="13"/>
                <w:szCs w:val="13"/>
                <w:b w:val="1"/>
                <w:bCs w:val="1"/>
                <w:color w:val="auto"/>
              </w:rPr>
              <w:t>Position</w:t>
            </w:r>
          </w:p>
        </w:tc>
      </w:tr>
      <w:tr>
        <w:trPr>
          <w:trHeight w:val="195"/>
        </w:trPr>
        <w:tc>
          <w:tcPr>
            <w:tcW w:w="274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Mark Dankberg</w:t>
            </w:r>
          </w:p>
        </w:tc>
        <w:tc>
          <w:tcPr>
            <w:tcW w:w="160" w:type="dxa"/>
            <w:vAlign w:val="bottom"/>
          </w:tcPr>
          <w:p>
            <w:pPr>
              <w:spacing w:after="0"/>
              <w:rPr>
                <w:sz w:val="16"/>
                <w:szCs w:val="16"/>
                <w:color w:val="auto"/>
              </w:rPr>
            </w:pPr>
          </w:p>
        </w:tc>
        <w:tc>
          <w:tcPr>
            <w:tcW w:w="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66</w:t>
            </w:r>
          </w:p>
        </w:tc>
        <w:tc>
          <w:tcPr>
            <w:tcW w:w="340" w:type="dxa"/>
            <w:vAlign w:val="bottom"/>
          </w:tcPr>
          <w:p>
            <w:pPr>
              <w:spacing w:after="0"/>
              <w:rPr>
                <w:sz w:val="16"/>
                <w:szCs w:val="16"/>
                <w:color w:val="auto"/>
              </w:rPr>
            </w:pPr>
          </w:p>
        </w:tc>
        <w:tc>
          <w:tcPr>
            <w:tcW w:w="5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Executive Chairman</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Richard Baldridge</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President &amp; Chief Executive Officer and Board Director</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Robert Blair</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General Counsel and Secretary</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Girish Chandran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Evan Dixon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President, Global Fixed Broadband</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James Dodd</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 and President, Global Enterprise &amp; Mobility</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Shawn Duffy</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03"/>
        </w:trPr>
        <w:tc>
          <w:tcPr>
            <w:tcW w:w="2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Kevin Harkenrider</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65</w:t>
            </w:r>
          </w:p>
        </w:tc>
        <w:tc>
          <w:tcPr>
            <w:tcW w:w="34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Executive Vice President, Global Operations and Chief Operations</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Officer</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Melinda Kimbro</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 People &amp; Culture and Chief People Officer</w:t>
            </w:r>
          </w:p>
        </w:tc>
      </w:tr>
      <w:tr>
        <w:trPr>
          <w:trHeight w:val="203"/>
        </w:trPr>
        <w:tc>
          <w:tcPr>
            <w:tcW w:w="29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Keven Lippert</w:t>
            </w: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49</w:t>
            </w:r>
          </w:p>
        </w:tc>
        <w:tc>
          <w:tcPr>
            <w:tcW w:w="340" w:type="dxa"/>
            <w:vAlign w:val="bottom"/>
          </w:tcPr>
          <w:p>
            <w:pPr>
              <w:spacing w:after="0"/>
              <w:rPr>
                <w:sz w:val="17"/>
                <w:szCs w:val="17"/>
                <w:color w:val="auto"/>
              </w:rPr>
            </w:pPr>
          </w:p>
        </w:tc>
        <w:tc>
          <w:tcPr>
            <w:tcW w:w="5800" w:type="dxa"/>
            <w:vAlign w:val="bottom"/>
          </w:tcPr>
          <w:p>
            <w:pPr>
              <w:spacing w:after="0" w:line="202" w:lineRule="exact"/>
              <w:rPr>
                <w:sz w:val="20"/>
                <w:szCs w:val="20"/>
                <w:color w:val="auto"/>
              </w:rPr>
            </w:pPr>
            <w:r>
              <w:rPr>
                <w:rFonts w:ascii="Arial" w:cs="Arial" w:eastAsia="Arial" w:hAnsi="Arial"/>
                <w:sz w:val="18"/>
                <w:szCs w:val="18"/>
                <w:color w:val="auto"/>
              </w:rPr>
              <w:t>Executive Vice President, Strategic Initiatives and Chief Commercial</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0" w:type="dxa"/>
            <w:vAlign w:val="bottom"/>
          </w:tcPr>
          <w:p>
            <w:pPr>
              <w:ind w:left="220"/>
              <w:spacing w:after="0" w:line="202" w:lineRule="exact"/>
              <w:rPr>
                <w:sz w:val="20"/>
                <w:szCs w:val="20"/>
                <w:color w:val="auto"/>
              </w:rPr>
            </w:pPr>
            <w:r>
              <w:rPr>
                <w:rFonts w:ascii="Arial" w:cs="Arial" w:eastAsia="Arial" w:hAnsi="Arial"/>
                <w:sz w:val="18"/>
                <w:szCs w:val="18"/>
                <w:color w:val="auto"/>
              </w:rPr>
              <w:t>Officer</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Craig Miller</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President, Government Systems</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Mark Miller</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Executive Vice President and Chief Technical Officer</w:t>
            </w:r>
          </w:p>
        </w:tc>
      </w:tr>
      <w:tr>
        <w:trPr>
          <w:trHeight w:val="216"/>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Krishna Nathan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Chief Information Officer</w:t>
            </w:r>
          </w:p>
        </w:tc>
      </w:tr>
      <w:tr>
        <w:trPr>
          <w:trHeight w:val="217"/>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David Ryan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66</w:t>
            </w:r>
          </w:p>
        </w:tc>
        <w:tc>
          <w:tcPr>
            <w:tcW w:w="34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Senior Vice President and President, Space &amp; Commercial Networks</w:t>
            </w:r>
          </w:p>
        </w:tc>
      </w:tr>
    </w:tbl>
    <w:p>
      <w:pPr>
        <w:spacing w:after="0" w:line="19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7"/>
          <w:szCs w:val="17"/>
          <w:i w:val="1"/>
          <w:iCs w:val="1"/>
          <w:color w:val="auto"/>
        </w:rPr>
        <w:t xml:space="preserve">Mark Dankberg </w:t>
      </w:r>
      <w:r>
        <w:rPr>
          <w:rFonts w:ascii="Arial" w:cs="Arial" w:eastAsia="Arial" w:hAnsi="Arial"/>
          <w:sz w:val="17"/>
          <w:szCs w:val="17"/>
          <w:color w:val="auto"/>
        </w:rPr>
        <w:t>is a founder of Viasat and has served as Executive Chairman since November 2020, and previously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of the Board and Chief Executive Officer of Viasat since its inception in May 1986. Mr. Dankberg provides Viasat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currently serves on the board of Lytx, Inc., a privately-held company that provides fleet safety management solutions, and the Rice University Board of Trustees.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20"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i w:val="1"/>
          <w:iCs w:val="1"/>
          <w:color w:val="auto"/>
        </w:rPr>
        <w:t xml:space="preserve">Richard Baldridge </w:t>
      </w:r>
      <w:r>
        <w:rPr>
          <w:rFonts w:ascii="Arial" w:cs="Arial" w:eastAsia="Arial" w:hAnsi="Arial"/>
          <w:sz w:val="18"/>
          <w:szCs w:val="18"/>
          <w:color w:val="auto"/>
        </w:rPr>
        <w:t>joined Viasat in April 1999, serving as our Executive Vice President, Chief Financial Officer and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from 2000 and as our Executive Vice President and Chief Operating Officer from 2002. Mr. Baldridge was appointed President and Chief Operating Officer in 2003 and assumed his current role of President and Chief Executive Officer in November 2020. Mr. Baldridge has also served on our Board of Directors since 2016.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2" w:name="page23"/>
    <w:bookmarkEnd w:id="22"/>
    <w:p>
      <w:pPr>
        <w:ind w:right="140"/>
        <w:spacing w:after="0" w:line="246" w:lineRule="auto"/>
        <w:rPr>
          <w:sz w:val="20"/>
          <w:szCs w:val="20"/>
          <w:color w:val="auto"/>
        </w:rPr>
      </w:pPr>
      <w:r>
        <w:rPr>
          <w:rFonts w:ascii="Arial" w:cs="Arial" w:eastAsia="Arial" w:hAnsi="Arial"/>
          <w:sz w:val="18"/>
          <w:szCs w:val="18"/>
          <w:color w:val="auto"/>
        </w:rPr>
        <w:t>financial and general management roles with General Dynamics Corporation. Mr. Baldridge holds a B.S.B.A. degree in Information Systems from New Mexico State University.</w:t>
      </w:r>
    </w:p>
    <w:p>
      <w:pPr>
        <w:spacing w:after="0" w:line="125" w:lineRule="exact"/>
        <w:rPr>
          <w:sz w:val="20"/>
          <w:szCs w:val="20"/>
          <w:color w:val="auto"/>
        </w:rPr>
      </w:pPr>
    </w:p>
    <w:p>
      <w:pPr>
        <w:ind w:right="300" w:firstLine="510"/>
        <w:spacing w:after="0" w:line="260" w:lineRule="auto"/>
        <w:rPr>
          <w:sz w:val="20"/>
          <w:szCs w:val="20"/>
          <w:color w:val="auto"/>
        </w:rPr>
      </w:pPr>
      <w:r>
        <w:rPr>
          <w:rFonts w:ascii="Arial" w:cs="Arial" w:eastAsia="Arial" w:hAnsi="Arial"/>
          <w:sz w:val="17"/>
          <w:szCs w:val="17"/>
          <w:i w:val="1"/>
          <w:iCs w:val="1"/>
          <w:color w:val="auto"/>
        </w:rPr>
        <w:t xml:space="preserve">Robert Blair </w:t>
      </w:r>
      <w:r>
        <w:rPr>
          <w:rFonts w:ascii="Arial" w:cs="Arial" w:eastAsia="Arial" w:hAnsi="Arial"/>
          <w:sz w:val="17"/>
          <w:szCs w:val="17"/>
          <w:color w:val="auto"/>
        </w:rPr>
        <w:t>joined Viasat in May 2008 as Assistant General Counsel. In April 2009, Mr. Blair was appointed Associate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Counsel and in 2014 was appointed Vice President and Deputy General Counsel. In May 2017, Mr. Blair assumed his current position as Vice President, General Counsel and Secretary.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p>
    <w:p>
      <w:pPr>
        <w:spacing w:after="0" w:line="116" w:lineRule="exact"/>
        <w:rPr>
          <w:sz w:val="20"/>
          <w:szCs w:val="20"/>
          <w:color w:val="auto"/>
        </w:rPr>
      </w:pPr>
    </w:p>
    <w:p>
      <w:pPr>
        <w:ind w:right="60" w:firstLine="510"/>
        <w:spacing w:after="0" w:line="239" w:lineRule="auto"/>
        <w:rPr>
          <w:sz w:val="20"/>
          <w:szCs w:val="20"/>
          <w:color w:val="auto"/>
        </w:rPr>
      </w:pPr>
      <w:r>
        <w:rPr>
          <w:rFonts w:ascii="Arial" w:cs="Arial" w:eastAsia="Arial" w:hAnsi="Arial"/>
          <w:sz w:val="18"/>
          <w:szCs w:val="18"/>
          <w:i w:val="1"/>
          <w:iCs w:val="1"/>
          <w:color w:val="auto"/>
        </w:rPr>
        <w:t xml:space="preserve">Girish Chandran </w:t>
      </w:r>
      <w:r>
        <w:rPr>
          <w:rFonts w:ascii="Arial" w:cs="Arial" w:eastAsia="Arial" w:hAnsi="Arial"/>
          <w:sz w:val="18"/>
          <w:szCs w:val="18"/>
          <w:color w:val="auto"/>
        </w:rPr>
        <w:t>joined Viasat in October 2007 as a Principal Engineer. In September 2013, Mr. Chandran was appointed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 Commercial Networks. In May 2017, he assumed his current position as Vice President and Chief Technical Officer. 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p>
    <w:p>
      <w:pPr>
        <w:spacing w:after="0" w:line="133" w:lineRule="exact"/>
        <w:rPr>
          <w:sz w:val="20"/>
          <w:szCs w:val="20"/>
          <w:color w:val="auto"/>
        </w:rPr>
      </w:pPr>
    </w:p>
    <w:p>
      <w:pPr>
        <w:ind w:firstLine="510"/>
        <w:spacing w:after="0" w:line="242" w:lineRule="auto"/>
        <w:rPr>
          <w:sz w:val="20"/>
          <w:szCs w:val="20"/>
          <w:color w:val="auto"/>
        </w:rPr>
      </w:pPr>
      <w:r>
        <w:rPr>
          <w:rFonts w:ascii="Arial" w:cs="Arial" w:eastAsia="Arial" w:hAnsi="Arial"/>
          <w:sz w:val="18"/>
          <w:szCs w:val="18"/>
          <w:i w:val="1"/>
          <w:iCs w:val="1"/>
          <w:color w:val="auto"/>
        </w:rPr>
        <w:t xml:space="preserve">Evan Dixon </w:t>
      </w:r>
      <w:r>
        <w:rPr>
          <w:rFonts w:ascii="Arial" w:cs="Arial" w:eastAsia="Arial" w:hAnsi="Arial"/>
          <w:sz w:val="18"/>
          <w:szCs w:val="18"/>
          <w:color w:val="auto"/>
        </w:rPr>
        <w:t>joined Viasat in 2015 and served as Deputy CEO and Chief Marketing Officer of Euro Broadband Infrastructure Sarl</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at that time 49% owned by Viasat). In March 2018, he was appointed Vice President and General Manager of Viasat Europe, and in March 2020, he was appointed President, Global Fixed Broadband. Mr. Dixon previously held senior management positions at DIRECTV, a satellite television company, and AT&amp;T Inc., a telecommunications company. Mr. Dixon holds a B.S. degree in Business Administration from the University of Colorado and an M.B.A. degree from Pepperdine University.</w:t>
      </w:r>
    </w:p>
    <w:p>
      <w:pPr>
        <w:spacing w:after="0" w:line="131"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i w:val="1"/>
          <w:iCs w:val="1"/>
          <w:color w:val="auto"/>
        </w:rPr>
        <w:t xml:space="preserve">James Dodd </w:t>
      </w:r>
      <w:r>
        <w:rPr>
          <w:rFonts w:ascii="Arial" w:cs="Arial" w:eastAsia="Arial" w:hAnsi="Arial"/>
          <w:sz w:val="18"/>
          <w:szCs w:val="18"/>
          <w:color w:val="auto"/>
        </w:rPr>
        <w:t>joined Viasat in March 2020 as President, Global Mobile Solutions. In December 2020, he assumed his current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and President, Global Enterprise &amp; Mobility. Prior to joining Viasat, Mr. Dodd held a number of senior-level aviation management and engineering roles at Boeing, focused on complex Department of Defense and international contracted programs, overseeing strategic planning, execution, engineering and business development. Mr. Dodd was retired from October 2016 to February 2020, and at Boeing served as Vice President and Program Manager – Mobility, Surveillance and Engagement from 2015 to September 2016, Vice President and Program Manager – Weapons and Missile Systems from 2013 to 2014, and Vice President and Program Manager – Phantom Works, Advanced Boeing Military Aircraft from 2011 to 2012. Mr. Dodd earned an M.B.A. degree from Seattle University and a B.S. degree in Physics from Arkansas State University.</w:t>
      </w:r>
    </w:p>
    <w:p>
      <w:pPr>
        <w:spacing w:after="0" w:line="133" w:lineRule="exact"/>
        <w:rPr>
          <w:sz w:val="20"/>
          <w:szCs w:val="20"/>
          <w:color w:val="auto"/>
        </w:rPr>
      </w:pPr>
    </w:p>
    <w:p>
      <w:pPr>
        <w:ind w:right="180" w:firstLine="510"/>
        <w:spacing w:after="0" w:line="241" w:lineRule="auto"/>
        <w:rPr>
          <w:sz w:val="20"/>
          <w:szCs w:val="20"/>
          <w:color w:val="auto"/>
        </w:rPr>
      </w:pPr>
      <w:r>
        <w:rPr>
          <w:rFonts w:ascii="Arial" w:cs="Arial" w:eastAsia="Arial" w:hAnsi="Arial"/>
          <w:sz w:val="18"/>
          <w:szCs w:val="18"/>
          <w:i w:val="1"/>
          <w:iCs w:val="1"/>
          <w:color w:val="auto"/>
        </w:rPr>
        <w:t xml:space="preserve">Shawn Duffy </w:t>
      </w:r>
      <w:r>
        <w:rPr>
          <w:rFonts w:ascii="Arial" w:cs="Arial" w:eastAsia="Arial" w:hAnsi="Arial"/>
          <w:sz w:val="18"/>
          <w:szCs w:val="18"/>
          <w:color w:val="auto"/>
        </w:rPr>
        <w:t>joined Viasat in 2005 as Corporate Controller. In 2009, she was appointed Viasat’s Vice President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and in 2012 was 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30" w:lineRule="exact"/>
        <w:rPr>
          <w:sz w:val="20"/>
          <w:szCs w:val="20"/>
          <w:color w:val="auto"/>
        </w:rPr>
      </w:pPr>
    </w:p>
    <w:p>
      <w:pPr>
        <w:ind w:right="280" w:firstLine="510"/>
        <w:spacing w:after="0" w:line="241" w:lineRule="auto"/>
        <w:rPr>
          <w:sz w:val="20"/>
          <w:szCs w:val="20"/>
          <w:color w:val="auto"/>
        </w:rPr>
      </w:pPr>
      <w:r>
        <w:rPr>
          <w:rFonts w:ascii="Arial" w:cs="Arial" w:eastAsia="Arial" w:hAnsi="Arial"/>
          <w:sz w:val="18"/>
          <w:szCs w:val="18"/>
          <w:i w:val="1"/>
          <w:iCs w:val="1"/>
          <w:color w:val="auto"/>
        </w:rPr>
        <w:t xml:space="preserve">Kevin Harkenrider </w:t>
      </w:r>
      <w:r>
        <w:rPr>
          <w:rFonts w:ascii="Arial" w:cs="Arial" w:eastAsia="Arial" w:hAnsi="Arial"/>
          <w:sz w:val="18"/>
          <w:szCs w:val="18"/>
          <w:color w:val="auto"/>
        </w:rPr>
        <w:t>joined Viasat in October 2006 as Director — Operations, served as Vice President — Operations from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2007 until December 2009, served as Vice President of Viasat and Chief Operating Officer of Viasat Communications Inc. from December 2009 to April 2011, as Senior Vice President — Infrastructure Operations from April 2011 to May 2012, as Senior Vice</w:t>
      </w:r>
    </w:p>
    <w:p>
      <w:pPr>
        <w:spacing w:after="0" w:line="2"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President — Broadband Services from May 2012 to May 2015, as Senior Vice President — Commercial Networks from May 2015 to May 2018, and as Senior Vice President and President, Broadband Systems from May 2018 until March 2020. Mr. Harkenrider assumed his current position as Executive Vice President – Global Operations and Chief Operations Officer in March 2020. Prior to joining Viasat, Mr. Harkenrider served as Account Executive at Computer Sciences Corporation from 2002 through October 2006. From 1992 to 2001,</w:t>
      </w:r>
    </w:p>
    <w:p>
      <w:pPr>
        <w:spacing w:after="0" w:line="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30" w:lineRule="exact"/>
        <w:rPr>
          <w:sz w:val="20"/>
          <w:szCs w:val="20"/>
          <w:color w:val="auto"/>
        </w:rPr>
      </w:pPr>
    </w:p>
    <w:p>
      <w:pPr>
        <w:ind w:right="40" w:firstLine="510"/>
        <w:spacing w:after="0" w:line="245" w:lineRule="auto"/>
        <w:rPr>
          <w:sz w:val="20"/>
          <w:szCs w:val="20"/>
          <w:color w:val="auto"/>
        </w:rPr>
      </w:pPr>
      <w:r>
        <w:rPr>
          <w:rFonts w:ascii="Arial" w:cs="Arial" w:eastAsia="Arial" w:hAnsi="Arial"/>
          <w:sz w:val="18"/>
          <w:szCs w:val="18"/>
          <w:i w:val="1"/>
          <w:iCs w:val="1"/>
          <w:color w:val="auto"/>
        </w:rPr>
        <w:t xml:space="preserve">Melinda Kimbro </w:t>
      </w:r>
      <w:r>
        <w:rPr>
          <w:rFonts w:ascii="Arial" w:cs="Arial" w:eastAsia="Arial" w:hAnsi="Arial"/>
          <w:sz w:val="18"/>
          <w:szCs w:val="18"/>
          <w:color w:val="auto"/>
        </w:rPr>
        <w:t>joined Viasat in 2001 as Manager of Learning and Development. In 2003 she began to assume a broader role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organization. In 2008 she was appointed Director of Human Resources and in 2011 was appointed Vice</w:t>
      </w:r>
    </w:p>
    <w:p>
      <w:pPr>
        <w:ind w:right="180"/>
        <w:spacing w:after="0" w:line="246" w:lineRule="auto"/>
        <w:rPr>
          <w:sz w:val="20"/>
          <w:szCs w:val="20"/>
          <w:color w:val="auto"/>
        </w:rPr>
      </w:pPr>
      <w:r>
        <w:rPr>
          <w:rFonts w:ascii="Arial" w:cs="Arial" w:eastAsia="Arial" w:hAnsi="Arial"/>
          <w:sz w:val="18"/>
          <w:szCs w:val="18"/>
          <w:color w:val="auto"/>
        </w:rPr>
        <w:t>President — Human Resources. In April 2016, she assumed the position of Senior Vice President — Human Resources, which was retitled Senior Vice President — People &amp; Culture in April 2017. In May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ind w:right="40"/>
        <w:spacing w:after="0" w:line="238" w:lineRule="auto"/>
        <w:rPr>
          <w:sz w:val="20"/>
          <w:szCs w:val="20"/>
          <w:color w:val="auto"/>
        </w:rPr>
      </w:pPr>
      <w:r>
        <w:rPr>
          <w:rFonts w:ascii="Arial" w:cs="Arial" w:eastAsia="Arial" w:hAnsi="Arial"/>
          <w:sz w:val="18"/>
          <w:szCs w:val="18"/>
          <w:color w:val="auto"/>
        </w:rPr>
        <w:t>she was also named Chief People Officer. Ms. Kimbro currently serves on the board of trustees at the San Diego Museum of Art. Ms. Kimbro started her career teaching at San Diego State University within the School of Communication. Prior to joining Viasat she held roles in corporate learning and organizational development for Nicholas-Applegate Capital Management, Qualcomm Personal Electronics and Sony Electronics. Ms. Kimbro holds B.A. and M.A. degrees in Communication from San Diego State University.</w:t>
      </w:r>
    </w:p>
    <w:p>
      <w:pPr>
        <w:spacing w:after="0" w:line="133" w:lineRule="exact"/>
        <w:rPr>
          <w:sz w:val="20"/>
          <w:szCs w:val="20"/>
          <w:color w:val="auto"/>
        </w:rPr>
      </w:pPr>
    </w:p>
    <w:p>
      <w:pPr>
        <w:ind w:right="20" w:firstLine="510"/>
        <w:spacing w:after="0" w:line="239" w:lineRule="auto"/>
        <w:rPr>
          <w:sz w:val="20"/>
          <w:szCs w:val="20"/>
          <w:color w:val="auto"/>
        </w:rPr>
      </w:pPr>
      <w:r>
        <w:rPr>
          <w:rFonts w:ascii="Arial" w:cs="Arial" w:eastAsia="Arial" w:hAnsi="Arial"/>
          <w:sz w:val="18"/>
          <w:szCs w:val="18"/>
          <w:i w:val="1"/>
          <w:iCs w:val="1"/>
          <w:color w:val="auto"/>
        </w:rPr>
        <w:t xml:space="preserve">Keven Lippert </w:t>
      </w:r>
      <w:r>
        <w:rPr>
          <w:rFonts w:ascii="Arial" w:cs="Arial" w:eastAsia="Arial" w:hAnsi="Arial"/>
          <w:sz w:val="18"/>
          <w:szCs w:val="18"/>
          <w:color w:val="auto"/>
        </w:rPr>
        <w:t>joined Viasat in May 2000 as Associate General Counsel and Assistant Secretary. In April 2007, he was appointed</w:t>
      </w:r>
      <w:r>
        <w:rPr>
          <w:rFonts w:ascii="Arial" w:cs="Arial" w:eastAsia="Arial" w:hAnsi="Arial"/>
          <w:sz w:val="18"/>
          <w:szCs w:val="18"/>
          <w:i w:val="1"/>
          <w:iCs w:val="1"/>
          <w:color w:val="auto"/>
        </w:rPr>
        <w:t xml:space="preserve"> </w:t>
      </w:r>
      <w:r>
        <w:rPr>
          <w:rFonts w:ascii="Arial" w:cs="Arial" w:eastAsia="Arial" w:hAnsi="Arial"/>
          <w:sz w:val="18"/>
          <w:szCs w:val="18"/>
          <w:color w:val="auto"/>
        </w:rPr>
        <w:t>Viasat’s Vice President, General Counsel and Secretary, in 2012 he was appointed Senior Vice President — General Counsel and Secretary, and in June 2014 he was appointed Executive Vice President — General Counsel and Secretary. In May 2017, he was appointed President, Broadband Services and Chief Legal Officer, and in May 2018, he assumed the position as Executive Vice President, Corporate Development and Chief Administrative Officer. Effective September 2018, he assumed his current position as Executive Vice President, Strategic Initiatives and Chief Commercial Officer.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133" w:lineRule="exact"/>
        <w:rPr>
          <w:sz w:val="20"/>
          <w:szCs w:val="20"/>
          <w:color w:val="auto"/>
        </w:rPr>
      </w:pPr>
    </w:p>
    <w:p>
      <w:pPr>
        <w:ind w:right="300" w:firstLine="510"/>
        <w:spacing w:after="0" w:line="250" w:lineRule="auto"/>
        <w:rPr>
          <w:sz w:val="20"/>
          <w:szCs w:val="20"/>
          <w:color w:val="auto"/>
        </w:rPr>
      </w:pPr>
      <w:r>
        <w:rPr>
          <w:rFonts w:ascii="Arial" w:cs="Arial" w:eastAsia="Arial" w:hAnsi="Arial"/>
          <w:sz w:val="18"/>
          <w:szCs w:val="18"/>
          <w:i w:val="1"/>
          <w:iCs w:val="1"/>
          <w:color w:val="auto"/>
        </w:rPr>
        <w:t xml:space="preserve">Craig Miller </w:t>
      </w:r>
      <w:r>
        <w:rPr>
          <w:rFonts w:ascii="Arial" w:cs="Arial" w:eastAsia="Arial" w:hAnsi="Arial"/>
          <w:sz w:val="18"/>
          <w:szCs w:val="18"/>
          <w:color w:val="auto"/>
        </w:rPr>
        <w:t>joined Viasat in 1995 and has held numerous technology, business and strategic leadership roles. In January 2015, Mr.</w:t>
      </w:r>
      <w:r>
        <w:rPr>
          <w:rFonts w:ascii="Arial" w:cs="Arial" w:eastAsia="Arial" w:hAnsi="Arial"/>
          <w:sz w:val="18"/>
          <w:szCs w:val="18"/>
          <w:i w:val="1"/>
          <w:iCs w:val="1"/>
          <w:color w:val="auto"/>
        </w:rPr>
        <w:t xml:space="preserve"> </w:t>
      </w:r>
      <w:r>
        <w:rPr>
          <w:rFonts w:ascii="Arial" w:cs="Arial" w:eastAsia="Arial" w:hAnsi="Arial"/>
          <w:sz w:val="18"/>
          <w:szCs w:val="18"/>
          <w:color w:val="auto"/>
        </w:rPr>
        <w:t>Miller was appointed Chief Technology Officer, Government Systems, and in May 2021, he was promoted to President, Government Systems. Mr. Miller holds a B.S. degree in Electrical Engineering from the University of Arizona.</w:t>
      </w:r>
    </w:p>
    <w:p>
      <w:pPr>
        <w:spacing w:after="0" w:line="123" w:lineRule="exact"/>
        <w:rPr>
          <w:sz w:val="20"/>
          <w:szCs w:val="20"/>
          <w:color w:val="auto"/>
        </w:rPr>
      </w:pPr>
    </w:p>
    <w:p>
      <w:pPr>
        <w:ind w:firstLine="510"/>
        <w:spacing w:after="0" w:line="245"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assumed 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27" w:lineRule="exact"/>
        <w:rPr>
          <w:sz w:val="20"/>
          <w:szCs w:val="20"/>
          <w:color w:val="auto"/>
        </w:rPr>
      </w:pPr>
    </w:p>
    <w:p>
      <w:pPr>
        <w:ind w:right="80" w:firstLine="510"/>
        <w:spacing w:after="0" w:line="245" w:lineRule="auto"/>
        <w:rPr>
          <w:sz w:val="20"/>
          <w:szCs w:val="20"/>
          <w:color w:val="auto"/>
        </w:rPr>
      </w:pPr>
      <w:r>
        <w:rPr>
          <w:rFonts w:ascii="Arial" w:cs="Arial" w:eastAsia="Arial" w:hAnsi="Arial"/>
          <w:sz w:val="18"/>
          <w:szCs w:val="18"/>
          <w:i w:val="1"/>
          <w:iCs w:val="1"/>
          <w:color w:val="auto"/>
        </w:rPr>
        <w:t xml:space="preserve">Krishna Nathan </w:t>
      </w:r>
      <w:r>
        <w:rPr>
          <w:rFonts w:ascii="Arial" w:cs="Arial" w:eastAsia="Arial" w:hAnsi="Arial"/>
          <w:sz w:val="18"/>
          <w:szCs w:val="18"/>
          <w:color w:val="auto"/>
        </w:rPr>
        <w:t>joined Viasat in September 2019 as its Chief Information Officer. Mr. Nathan previously held senior leadership roles at</w:t>
      </w:r>
      <w:r>
        <w:rPr>
          <w:rFonts w:ascii="Arial" w:cs="Arial" w:eastAsia="Arial" w:hAnsi="Arial"/>
          <w:sz w:val="18"/>
          <w:szCs w:val="18"/>
          <w:i w:val="1"/>
          <w:iCs w:val="1"/>
          <w:color w:val="auto"/>
        </w:rPr>
        <w:t xml:space="preserve"> </w:t>
      </w:r>
      <w:r>
        <w:rPr>
          <w:rFonts w:ascii="Arial" w:cs="Arial" w:eastAsia="Arial" w:hAnsi="Arial"/>
          <w:sz w:val="18"/>
          <w:szCs w:val="18"/>
          <w:color w:val="auto"/>
        </w:rPr>
        <w:t>S&amp;P Global, a financial information and analytics company, and IBM, a technology company. Mr. Nathan holds a B.S. degree in Electrical Engineering from George Washington University, an M.S. degree in Electrical Engineering from M.I.T. and a Ph.D. degree in Engineering from Brown University.</w:t>
      </w:r>
    </w:p>
    <w:p>
      <w:pPr>
        <w:spacing w:after="0" w:line="127" w:lineRule="exact"/>
        <w:rPr>
          <w:sz w:val="20"/>
          <w:szCs w:val="20"/>
          <w:color w:val="auto"/>
        </w:rPr>
      </w:pPr>
    </w:p>
    <w:p>
      <w:pPr>
        <w:ind w:right="60" w:firstLine="510"/>
        <w:spacing w:after="0" w:line="241" w:lineRule="auto"/>
        <w:rPr>
          <w:sz w:val="20"/>
          <w:szCs w:val="20"/>
          <w:color w:val="auto"/>
        </w:rPr>
      </w:pPr>
      <w:r>
        <w:rPr>
          <w:rFonts w:ascii="Arial" w:cs="Arial" w:eastAsia="Arial" w:hAnsi="Arial"/>
          <w:sz w:val="18"/>
          <w:szCs w:val="18"/>
          <w:i w:val="1"/>
          <w:iCs w:val="1"/>
          <w:color w:val="auto"/>
        </w:rPr>
        <w:t xml:space="preserve">David Ryan </w:t>
      </w:r>
      <w:r>
        <w:rPr>
          <w:rFonts w:ascii="Arial" w:cs="Arial" w:eastAsia="Arial" w:hAnsi="Arial"/>
          <w:sz w:val="18"/>
          <w:szCs w:val="18"/>
          <w:color w:val="auto"/>
        </w:rPr>
        <w:t>joined Viasat in May 2016 as Vice President — Intelligence Programs, was appointed Senior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Space Systems in March 2018, and was appointed Senior Vice President and President, Space &amp; Commercial Networks in March 2019. Prior to joining Viasat, Mr. Ryan held several roles at Northrop Grumman Corporation from 2005 to 2014, including Sector Vice President and General Manager of the Intelligence Systems Division. He also served in various roles at Boeing from 1990 to 2005, including President of Boeing Space Systems International. Mr. Ryan currently serves as a director of Space Micro Inc., a satellite electronics product company. Mr. Ryan earned a B.S.E.E and an M.E.E degree from Rice University.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9"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 and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Are Difficult to Predict</w:t>
      </w:r>
    </w:p>
    <w:p>
      <w:pPr>
        <w:spacing w:after="0" w:line="99"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48" w:lineRule="exact"/>
        <w:rPr>
          <w:sz w:val="20"/>
          <w:szCs w:val="20"/>
          <w:color w:val="auto"/>
        </w:rPr>
      </w:pPr>
    </w:p>
    <w:p>
      <w:pPr>
        <w:ind w:left="1000" w:right="1000" w:hanging="493"/>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construction, launch or acquisition of satellites, the associated level of investment required and the impact of any construction or launch delays, operational or launch failures or other disruptions to our satellites;</w:t>
      </w:r>
    </w:p>
    <w:p>
      <w:pPr>
        <w:spacing w:after="0" w:line="48" w:lineRule="exact"/>
        <w:rPr>
          <w:rFonts w:ascii="Arial" w:cs="Arial" w:eastAsia="Arial" w:hAnsi="Arial"/>
          <w:sz w:val="18"/>
          <w:szCs w:val="18"/>
          <w:color w:val="auto"/>
        </w:rPr>
      </w:pPr>
    </w:p>
    <w:p>
      <w:pPr>
        <w:ind w:left="1000" w:right="660" w:hanging="493"/>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uptake of our in-flight services by commercial airlines and number of aircraft being retrofitted or installed with our IFC systems;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ind w:left="1000" w:right="400" w:hanging="493"/>
        <w:spacing w:after="0" w:line="245"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varying subscriber addition, churn and average revenue per user (ARPU) rates for our fixed broadband business and mix of wholesale and retail subscribers;</w:t>
      </w:r>
    </w:p>
    <w:p>
      <w:pPr>
        <w:spacing w:after="0" w:line="49" w:lineRule="exact"/>
        <w:rPr>
          <w:rFonts w:ascii="Arial" w:cs="Arial" w:eastAsia="Arial" w:hAnsi="Arial"/>
          <w:sz w:val="18"/>
          <w:szCs w:val="18"/>
          <w:color w:val="auto"/>
        </w:rPr>
      </w:pPr>
    </w:p>
    <w:p>
      <w:pPr>
        <w:ind w:left="1000" w:right="44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complex and lengthy procurement process for most of our commercial networks and government systems customers and potential customers;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levels of R&amp;D spending, including the effects of associated tax credits;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 overruns on fixed-price development contracts;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quantity and mix of products and services sold;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and the timing of availability of our new products and services;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customer payments for significant contracts;</w:t>
      </w:r>
    </w:p>
    <w:p>
      <w:pPr>
        <w:spacing w:after="0" w:line="76" w:lineRule="exact"/>
        <w:rPr>
          <w:rFonts w:ascii="Arial" w:cs="Arial" w:eastAsia="Arial" w:hAnsi="Arial"/>
          <w:sz w:val="18"/>
          <w:szCs w:val="18"/>
          <w:color w:val="auto"/>
        </w:rPr>
      </w:pPr>
    </w:p>
    <w:p>
      <w:pPr>
        <w:ind w:left="1000" w:right="240" w:hanging="493"/>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to receive an expected order or a deferral of an order to a later period;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public health crises, such as the COVID-19 pandemic, and economic and political conditions.</w:t>
      </w:r>
    </w:p>
    <w:p>
      <w:pPr>
        <w:spacing w:after="0" w:line="171"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Any of the foregoing factors, or any other factors discussed elsewhere herein, could have a material adverse effect on our business, financial condition and results of operations that could adversely affect our stock price. In addition, it is likely that in one or more future quarters our results may fall below the expectations of analysts and investors, which would likely cause the trading price of our common stock to decrease.</w:t>
      </w:r>
    </w:p>
    <w:p>
      <w:pPr>
        <w:spacing w:after="0" w:line="196"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color w:val="auto"/>
        </w:rPr>
        <w:t>Satellite Failures or Degradations in Satellite Performance Could Affect Our Business, Financial Condition and Results of Operations</w:t>
      </w:r>
    </w:p>
    <w:p>
      <w:pPr>
        <w:spacing w:after="0" w:line="4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own four satellites in service (ViaSat-2, ViaSat-1, KA-SAT and WildBlue-1) and lease or have access to capacity on multiple satellites. In addition, we have three ViaSat-3 class satellites under construction, and may construct, acquire or use additional satellites in the future. Satellites utilize highly complex technology and operate in the harsh environment of space and are subject to significant operational risks while in orbit. These risks include malfunctions (commonly referred to as anomalies), such as malfunctions in the deployment of subsystems and/or components, interference from electrostatic storms, and collisions with meteoroids, decommissioned spacecraft or other space debris. Our satellites have experienced various anomalies in the past and we will likely experience anomalies in the future. Anomalies can occur as a result of various factors, such as satellite manufacturer error, problems with the power or control sub-system of a satellite or general failures resulting from operating satellites in the harsh space environment.</w:t>
      </w:r>
    </w:p>
    <w:p>
      <w:pPr>
        <w:spacing w:after="0" w:line="154"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Any single anomaly or other operational failure or degradation on the satellites we use could have a material adverse effect on our business, financial condition and results of operations. Anomalies may also reduce the expected useful life of a satellite, thereby creating additional expense due to the need to provide replacement or backup capacity. We may not be able to obtain backup capacity or a replacement satellite on reasonable economic terms, a reasonable schedule or at all. In addition, anomalies may cause a reduction of the revenues generated by the applicable satellite or the recognition of an impairment loss, and in some circumstances could lead to claims from third parties for damages, for example, if a satellite experiencing an anomaly were to cause physical damage to another satellite, create interference to the transmissions on another satellite or cause another satellite operator to incur expenses to avoid such physical damage or interference. Finally, anomalies may adversely affect our ability to insure our satellites at commercially reasonable premiums or terms, if at all. While some anomalies are covered by insurance policies, others may not be covered or may be subject to large deductibles.</w:t>
      </w:r>
    </w:p>
    <w:p>
      <w:pPr>
        <w:spacing w:after="0" w:line="15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 Have a Finite Useful Life, and Their Actual Operational Life May Be Shorter than Their Design Life</w:t>
      </w:r>
    </w:p>
    <w:p>
      <w:pPr>
        <w:spacing w:after="0" w:line="8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Our ability to earn revenues from our satellite services depends on the continued operation of the satellites we own and operate or use. Each satellite has a limited useful life, referred to as its design life. There can be no assurance as to the actual operational life of a satellite, which may be shorter than its design life. A number of factors affect the useful lives of the satellites, including quality of design and construction, durability of component parts and back-up units, the ability to</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5" w:name="page26"/>
    <w:bookmarkEnd w:id="25"/>
    <w:p>
      <w:pPr>
        <w:ind w:right="140"/>
        <w:spacing w:after="0" w:line="238" w:lineRule="auto"/>
        <w:rPr>
          <w:sz w:val="20"/>
          <w:szCs w:val="20"/>
          <w:color w:val="auto"/>
        </w:rPr>
      </w:pPr>
      <w:r>
        <w:rPr>
          <w:rFonts w:ascii="Arial" w:cs="Arial" w:eastAsia="Arial" w:hAnsi="Arial"/>
          <w:sz w:val="18"/>
          <w:szCs w:val="18"/>
          <w:color w:val="auto"/>
        </w:rPr>
        <w:t>continue to maintain proper orbit and control over the satellite’s functions, efficiency of the launch vehicle used, consumption of on-board fuel, degradation and durability of solar panels, the actual space environment experienced and the occurrence of anomalies or other in-orbit risks affecting the satellite. In addition, continued improvements in satellite technology may make satellites obsolete prior to the end of their operational life.</w:t>
      </w:r>
    </w:p>
    <w:p>
      <w:pPr>
        <w:spacing w:after="0" w:line="210"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New or Proposed Satellites Are Subject to Significant Risks Related to Construction and Launch that Could Limit Our Ability to Utilize these Satellites</w:t>
      </w:r>
    </w:p>
    <w:p>
      <w:pPr>
        <w:spacing w:after="0" w:line="27"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We have three ViaSat-3 class satellites under construction and may construct and launch additional satellites in the future. The design and construction of satellites require significant investments of capital and management time. Satellite construction and launch are also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Unlike our ViaSat-1 and ViaSat-2 satellites, which were constructed in their entirety by the satellite manufacturer, we construct the payload for our ViaSat-3 class satellites ourselves at our own facilities, with Boeing then integrating the completed payload into the satellite bus at their facilities. Moreover, the technologies in our ViaSat-3 satellite design are very complex, and there can be no assurance that the technologies will work as we expect or that we will realize any or all of the anticipated benefits of our ViaSat-3 satellite design. Difficulties or delays in the construction or integration of the payload for our ViaSat-3 class satellites or the implementation of our ViaSat-3 satellite design could adversely affect our business plan for these satellites and result in significant additional cost. We have in the past identified construction-related issues in our satellites. For example, our ViaSat-2 satellite experienced an antenna deployment issue which reduced its output capabilities. We have also experienced delays in satellite construction and launch, such as the delay in launching of our ViaSat-2 satellite caused by civil unrest in French Guiana (the location of the satellite launch) and the construction delays in our ViaSat-3 satellites caused by the COVID-19 pandemic.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 maintain the rights we may enjoy under various ITU filings. In addition, a launch failure may result in significant delays because of the need both to construct a replacement satellite, which can take up to 36 months or longer, and to obtain other launch opportunities. The overall historical loss rate in the satellite industry for all launches of commercial satellites in fixed orbits in the last five years is estimated by some industry participants to be approximately 3% but could at any time be higher. Launch vehicles may also under perform, in which case the satellite may still be able to be placed into service by using its onboard propulsion systems to reach the desired orbital location, but this would cause a reduction in its useful life. A significant delay in the construction, delivery or launch of a satellite may have a material adverse effect on our operations or our business plan for the satellite.</w:t>
      </w:r>
    </w:p>
    <w:p>
      <w:pPr>
        <w:spacing w:after="0" w:line="158" w:lineRule="exact"/>
        <w:rPr>
          <w:sz w:val="20"/>
          <w:szCs w:val="20"/>
          <w:color w:val="auto"/>
        </w:rPr>
      </w:pPr>
    </w:p>
    <w:p>
      <w:pPr>
        <w:ind w:right="100" w:firstLine="510"/>
        <w:spacing w:after="0"/>
        <w:rPr>
          <w:sz w:val="20"/>
          <w:szCs w:val="20"/>
          <w:color w:val="auto"/>
        </w:rPr>
      </w:pPr>
      <w:r>
        <w:rPr>
          <w:rFonts w:ascii="Arial" w:cs="Arial" w:eastAsia="Arial" w:hAnsi="Arial"/>
          <w:sz w:val="18"/>
          <w:szCs w:val="18"/>
          <w:color w:val="auto"/>
        </w:rPr>
        <w:t>Moreover, even if launch is successful, there can be no assurance that the satellite will successfully reach its geostationary orbital slot and pass in-orbit testing prior to transfer of control of the satellite to us. The failure to implement our satellite deployment plan on schedule could have a material adverse effect on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Satellite Losses May Not Be Fully Covered By Insurance, or at All</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We may not be able to obtain or renew pre-launch, launch or in-orbit insurance for our satellites on reasonable economic terms or at all. If we are able to obtain or renew our insurance, it may contain customary exclusions and exclusions for past satellite anomalies. A failure to obtain or renew our satellite insurance may also result in a default under our debt instruments. In addition, the occurrence of anomalies on other satellites, or failures of a satellite using similar components or failures of a similar launch vehicle to any launch vehicle we intend to use, may materially adversely affect our ability to insure our satellites at commercially reasonable premiums or terms, if at all.</w:t>
      </w:r>
    </w:p>
    <w:p>
      <w:pPr>
        <w:spacing w:after="0" w:line="148" w:lineRule="exact"/>
        <w:rPr>
          <w:sz w:val="20"/>
          <w:szCs w:val="20"/>
          <w:color w:val="auto"/>
        </w:rPr>
      </w:pPr>
    </w:p>
    <w:p>
      <w:pPr>
        <w:ind w:right="260" w:firstLine="510"/>
        <w:spacing w:after="0" w:line="237" w:lineRule="auto"/>
        <w:rPr>
          <w:sz w:val="20"/>
          <w:szCs w:val="20"/>
          <w:color w:val="auto"/>
        </w:rPr>
      </w:pPr>
      <w:r>
        <w:rPr>
          <w:rFonts w:ascii="Arial" w:cs="Arial" w:eastAsia="Arial" w:hAnsi="Arial"/>
          <w:sz w:val="18"/>
          <w:szCs w:val="18"/>
          <w:color w:val="auto"/>
        </w:rPr>
        <w:t>The policies covering our insured satellites will not cover the full cost of constructing and launching or replacing a satellite nor fully cover our losses in the event of a satellite failure or significant degradation. Moreover, such policies do not cover, and we do not have protection against,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Further, any insurance proceeds may not be received on a timely basis in order to launch a replacement satellite or take other remedial measures. In addition, the policies are subject to limitations involving uninsured losses, large satellite performance deductibles and policy limits.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The COVID-19 Pandemic Could Have a Material Adverse Effect on Our Business, Financial Condition and Results of Operations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March 2020, COVID-19 was declared a pandemic by the World Health Organization and a national emergency by the U.S. Government. The COVID-19 pandemic has created significant volatility, uncertainty and economic disruption, which may materially and adversely affect our business, financial condition, results of operations and cash flows. We are closely monitoring the impact of the COVID-19 pandemic on all aspects of our business and geographies, including how it impacts our employees, suppliers, customers and partners and the overall economy.</w:t>
      </w:r>
    </w:p>
    <w:p>
      <w:pPr>
        <w:spacing w:after="0" w:line="148" w:lineRule="exact"/>
        <w:rPr>
          <w:sz w:val="20"/>
          <w:szCs w:val="20"/>
          <w:color w:val="auto"/>
        </w:rPr>
      </w:pPr>
    </w:p>
    <w:p>
      <w:pPr>
        <w:ind w:right="100" w:firstLine="510"/>
        <w:spacing w:after="0" w:line="235" w:lineRule="auto"/>
        <w:rPr>
          <w:sz w:val="20"/>
          <w:szCs w:val="20"/>
          <w:color w:val="auto"/>
        </w:rPr>
      </w:pPr>
      <w:r>
        <w:rPr>
          <w:rFonts w:ascii="Arial" w:cs="Arial" w:eastAsia="Arial" w:hAnsi="Arial"/>
          <w:sz w:val="18"/>
          <w:szCs w:val="18"/>
          <w:color w:val="auto"/>
        </w:rPr>
        <w:t>Our management is focused on mitigating the effects of the COVID-19 pandemic, which has required and will continue to require a large investment of time and resources across our business. The extent to which the COVID-19 pandemic impacts us will depend on numerous evolving factors and future developments, which are highly uncertain and cannot be predicted with confidence, including: the duration, scope and severity of the pandemic; actions taken to contain or mitigate its impact and their effectiveness; the speed and extent of vaccination programs; impacts on our supply chain (including shortages of component parts or constrained manufacturing capacity); the impact of the pandemic on economic activity; the extent and duration of the pandemic’s effect on customer demand, payment and buying patterns; the impact of the pandemic on demand for global air or cruise ship travel and the extent and duration of the grounding of aircraft; a reduction in government spending in response to the COVID-19 pandemic or a prioritization of healthcare and unemployment spending over defense expenditures; the health of and the effect on our workforce and our ability to meet staffing needs in our businesses and facilities (particularly if members of our workforce are quarantined as a result of exposure); any impairment in value of our tangible or intangible assets which could be recorded as a result of a weaker economic conditions; and the potential effects on our internal controls, including those over financial reporting, as a result of changes in working environments such as shelter-in-place and similar orders that are applicable to our employees and business partners, among others. The impact of COVID-19 may also exacerbate other risks discussed under the heading “Risk Factors” and elsewhere in this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Markets in Which We Compete Are Highly Competitive and Our Competitors May Have Greater Resources than Us</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business segments. See “Business–Competition” in Part I, Item 1 of this report for a discussion of the competitive environment in each of our business segments. Many of our competitors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 compete in each of our segments may also be adversely affected by limits on our capital resources and our ability to invest in maintaining and expanding our market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Obtain or Maintain Required Authorizations or Contractual Arrangements</w:t>
      </w:r>
    </w:p>
    <w:p>
      <w:pPr>
        <w:spacing w:after="0" w:line="85"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p>
    <w:p>
      <w:pPr>
        <w:spacing w:after="0" w:line="151"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Such authorizations are conditioned upon meeting certain milestone conditions and/or due diligence requirements, which if not met or extended could result in loss of the authorization. While we anticipate that these authorizations will be extended or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 w:name="page28"/>
    <w:bookmarkEnd w:id="27"/>
    <w:p>
      <w:pPr>
        <w:ind w:firstLine="510"/>
        <w:spacing w:after="0" w:line="236"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The use of spacecraft in our business is subject to various conditions in the underlying authorizations held by us and third parties, as well as the requirements of the laws and regulations of those jurisdictions.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198"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The Global Business Environment and Economic Conditions Could Negatively Affect Our Business, Financial Condition and Results of Operations</w:t>
      </w:r>
    </w:p>
    <w:p>
      <w:pPr>
        <w:spacing w:after="0" w:line="41" w:lineRule="exact"/>
        <w:rPr>
          <w:sz w:val="20"/>
          <w:szCs w:val="20"/>
          <w:color w:val="auto"/>
        </w:rPr>
      </w:pPr>
    </w:p>
    <w:p>
      <w:pPr>
        <w:ind w:right="20" w:firstLine="510"/>
        <w:spacing w:after="0" w:line="235" w:lineRule="auto"/>
        <w:rPr>
          <w:sz w:val="20"/>
          <w:szCs w:val="20"/>
          <w:color w:val="auto"/>
        </w:rPr>
      </w:pPr>
      <w:r>
        <w:rPr>
          <w:rFonts w:ascii="Arial" w:cs="Arial" w:eastAsia="Arial" w:hAnsi="Arial"/>
          <w:sz w:val="18"/>
          <w:szCs w:val="18"/>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customer base in our satellite services segment by reducing consumers’ discretionary income and affecting their ability to subscribe for our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and difficulty obtaining financing or insolvency. Existing or potential customers may reduce or postpone spending in response to tighter credit, reduced consumer demand, negative financial news or declines in income or asset values, which could have a material negative effect on the demand for our products and services. For example, the business and financial condition of our commercial airline customers, which represented less than 10% of our total revenues for fiscal year 2020, were materially impacted during fiscal year 2021 by disruptions to global air travel caused by the outbreak of COVID-19. In addition, natural disasters, political instability, civil unrest, terrorist activity, acts of war, and public health issues such as the COVID-19 pandemic or epidemics could disrupt supplies and raise prices globally which, in turn, may have adverse effects on the world and U.S. economies. Any of these factors could result in reduced demand for, and pricing pressure on, our products and services, which could reduce our revenues and adversely affect our business, financial condition and results of operations.</w:t>
      </w:r>
    </w:p>
    <w:p>
      <w:pPr>
        <w:spacing w:after="0" w:line="159"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148" w:lineRule="exact"/>
        <w:rPr>
          <w:sz w:val="20"/>
          <w:szCs w:val="20"/>
          <w:color w:val="auto"/>
        </w:rPr>
      </w:pPr>
    </w:p>
    <w:p>
      <w:pPr>
        <w:ind w:firstLine="510"/>
        <w:spacing w:after="0" w:line="252" w:lineRule="auto"/>
        <w:rPr>
          <w:sz w:val="20"/>
          <w:szCs w:val="20"/>
          <w:color w:val="auto"/>
        </w:rPr>
      </w:pPr>
      <w:r>
        <w:rPr>
          <w:rFonts w:ascii="Arial" w:cs="Arial" w:eastAsia="Arial" w:hAnsi="Arial"/>
          <w:sz w:val="17"/>
          <w:szCs w:val="17"/>
          <w:color w:val="auto"/>
        </w:rPr>
        <w:t>The outbreak of COVID-19 has created considerable instability and disruption in the U.S. and world economies and financial markets, and contributed to significant volatility in equity and debt markets, and may result in an economic downturn or recession. As COVID-19 continues to spread, the potential impacts, including a global, regional or other economic recession, are increasingly uncertain and difficult to assess. The extent of the impact of the COVID-19 pandemic on our business will depend on many factors, including the duration and scope of the public health emergency, the extent, duration and effectiveness of containment actions taken, the speed and extent of vaccination programs, the extent of its disruption to important global, regional and local supply chains and economic markets, and the impact of the pandemic on overall supply and demand, global air travel, consumer confidence, discretionary spending levels and levels of economic activity. See “—The COVID-19 pandemic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Joint Ventures and Other Strategic Alliances May Have an Adverse Effect on Our Business</w:t>
      </w:r>
    </w:p>
    <w:p>
      <w:pPr>
        <w:spacing w:after="0" w:line="85"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(such as our acquisition of RigNet) and enter into joint ventures and other strategic alliances that involve significant risks and uncertainties. Risks and uncertainties relating to acquisitions, joint ventures and other strategic alliances include:</w:t>
      </w:r>
    </w:p>
    <w:p>
      <w:pPr>
        <w:spacing w:after="0" w:line="68" w:lineRule="exact"/>
        <w:rPr>
          <w:sz w:val="20"/>
          <w:szCs w:val="20"/>
          <w:color w:val="auto"/>
        </w:rPr>
      </w:pPr>
    </w:p>
    <w:p>
      <w:pPr>
        <w:ind w:left="1000" w:right="100" w:hanging="493"/>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difficulty in integrating and managing newly acquired businesses or any businesses of a joint venture or strategic alliance in an efficient and effective manner;</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in achieving objectives, cost savings and other benefits expected from such transactions;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of diverting resources and the attention of senior management from the operations of our business;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28" w:name="page29"/>
    <w:bookmarkEnd w:id="28"/>
    <w:p>
      <w:pPr>
        <w:ind w:left="1000" w:right="140" w:hanging="493"/>
        <w:spacing w:after="0" w:line="245"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 in the size and scope of our company following an acquisition or to the complexities of a joint venture or strategic alliance;</w:t>
      </w:r>
    </w:p>
    <w:p>
      <w:pPr>
        <w:spacing w:after="0" w:line="49" w:lineRule="exact"/>
        <w:rPr>
          <w:rFonts w:ascii="Arial" w:cs="Arial" w:eastAsia="Arial" w:hAnsi="Arial"/>
          <w:sz w:val="18"/>
          <w:szCs w:val="18"/>
          <w:color w:val="auto"/>
        </w:rPr>
      </w:pPr>
    </w:p>
    <w:p>
      <w:pPr>
        <w:ind w:left="1000" w:right="720" w:hanging="493"/>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 of an acquired business;</w:t>
      </w:r>
    </w:p>
    <w:p>
      <w:pPr>
        <w:spacing w:after="0" w:line="48" w:lineRule="exact"/>
        <w:rPr>
          <w:rFonts w:ascii="Arial" w:cs="Arial" w:eastAsia="Arial" w:hAnsi="Arial"/>
          <w:sz w:val="18"/>
          <w:szCs w:val="18"/>
          <w:color w:val="auto"/>
        </w:rPr>
      </w:pPr>
    </w:p>
    <w:p>
      <w:pPr>
        <w:ind w:left="1000" w:right="400" w:hanging="493"/>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of a partner to satisfy its obligations or the bankruptcy or malfeasance of such partner;</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and expenses associated with any undisclosed or potential liabilities of an acquired business;</w:t>
      </w:r>
    </w:p>
    <w:p>
      <w:pPr>
        <w:spacing w:after="0" w:line="76" w:lineRule="exact"/>
        <w:rPr>
          <w:rFonts w:ascii="Arial" w:cs="Arial" w:eastAsia="Arial" w:hAnsi="Arial"/>
          <w:sz w:val="18"/>
          <w:szCs w:val="18"/>
          <w:color w:val="auto"/>
        </w:rPr>
      </w:pPr>
    </w:p>
    <w:p>
      <w:pPr>
        <w:ind w:left="1000" w:right="38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and infrastructure to support the combined business, joint venture or strategic alliance, as well as maintaining uniform standards, controls (including internal accounting controls), procedures and policies;</w:t>
      </w:r>
    </w:p>
    <w:p>
      <w:pPr>
        <w:spacing w:after="0" w:line="54"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that funding requirements may be significantly greater than anticipated;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risks of entering markets in which we have less experience;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risks of disputes concerning indemnities and other obligations that could result in substantial costs.</w:t>
      </w:r>
    </w:p>
    <w:p>
      <w:pPr>
        <w:spacing w:after="0" w:line="171"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In connection with acquisitions, joint ventures or strategic alliances, we may incur debt, issue equity securities, assume contingent liabilities or have amortization expenses and write-downs of acquired assets, which could cause our earnings per share to decline. 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We may not be able to successfully integrate the businesses, products, technologies or personnel that we acquire in the future, and any strategic investments we make may not meet our financial or other investment objectives. Any failure to do so could seriously harm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Reliance on U.S. Government Contracts Exposes Us to Significant Risks</w:t>
      </w:r>
    </w:p>
    <w:p>
      <w:pPr>
        <w:spacing w:after="0" w:line="99"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Our government systems segment revenues typically represent approximately half of our total revenues and are derived primarily from U.S. Government applications. Therefore, any significant disruption or deterioration of our relationship with the U.S. Government would significantly reduce our revenues. U.S. Government business exposes us to various risks, including:</w:t>
      </w:r>
    </w:p>
    <w:p>
      <w:pPr>
        <w:spacing w:after="0" w:line="54" w:lineRule="exact"/>
        <w:rPr>
          <w:sz w:val="20"/>
          <w:szCs w:val="20"/>
          <w:color w:val="auto"/>
        </w:rPr>
      </w:pPr>
    </w:p>
    <w:p>
      <w:pPr>
        <w:ind w:left="1000" w:right="44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procurement legislation and regulations and other policies, which may reflect military and political developments;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contract or project terminations or suspensions;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unpredictable order placements, reductions or cancellations;</w:t>
      </w:r>
    </w:p>
    <w:p>
      <w:pPr>
        <w:spacing w:after="0" w:line="76" w:lineRule="exact"/>
        <w:rPr>
          <w:rFonts w:ascii="Arial" w:cs="Arial" w:eastAsia="Arial" w:hAnsi="Arial"/>
          <w:sz w:val="18"/>
          <w:szCs w:val="18"/>
          <w:color w:val="auto"/>
        </w:rPr>
      </w:pPr>
    </w:p>
    <w:p>
      <w:pPr>
        <w:ind w:left="1000" w:right="26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defense expenditures and contract adjustments;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competitors to protest contractual awards;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penalties arising from post-award contract audits;</w:t>
      </w:r>
    </w:p>
    <w:p>
      <w:pPr>
        <w:spacing w:after="0" w:line="76" w:lineRule="exact"/>
        <w:rPr>
          <w:rFonts w:ascii="Arial" w:cs="Arial" w:eastAsia="Arial" w:hAnsi="Arial"/>
          <w:sz w:val="18"/>
          <w:szCs w:val="18"/>
          <w:color w:val="auto"/>
        </w:rPr>
      </w:pPr>
    </w:p>
    <w:p>
      <w:pPr>
        <w:ind w:left="1000" w:right="44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reduction in the value of our contracts as a result of the routine audit and investigation of our costs by U.S. Government agencies;</w:t>
      </w:r>
    </w:p>
    <w:p>
      <w:pPr>
        <w:spacing w:after="0" w:line="48" w:lineRule="exact"/>
        <w:rPr>
          <w:rFonts w:ascii="Arial" w:cs="Arial" w:eastAsia="Arial" w:hAnsi="Arial"/>
          <w:sz w:val="18"/>
          <w:szCs w:val="18"/>
          <w:color w:val="auto"/>
        </w:rPr>
      </w:pPr>
    </w:p>
    <w:p>
      <w:pPr>
        <w:ind w:left="100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profitability from cost-reimbursement contracts under which the profit is limited to a specified amount;</w:t>
      </w:r>
    </w:p>
    <w:p>
      <w:pPr>
        <w:spacing w:after="0" w:line="76" w:lineRule="exact"/>
        <w:rPr>
          <w:rFonts w:ascii="Arial" w:cs="Arial" w:eastAsia="Arial" w:hAnsi="Arial"/>
          <w:sz w:val="18"/>
          <w:szCs w:val="18"/>
          <w:color w:val="auto"/>
        </w:rPr>
      </w:pPr>
    </w:p>
    <w:p>
      <w:pPr>
        <w:ind w:left="1000" w:right="320" w:hanging="493"/>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unpredictable cash collections of unbilled receivables that may be subject to acceptance of deliverables by the customer and contract close-out procedures, including government approval of final indirect rates;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75" w:lineRule="exact"/>
        <w:rPr>
          <w:rFonts w:ascii="Arial" w:cs="Arial" w:eastAsia="Arial" w:hAnsi="Arial"/>
          <w:sz w:val="18"/>
          <w:szCs w:val="18"/>
          <w:color w:val="auto"/>
        </w:rPr>
      </w:pPr>
    </w:p>
    <w:p>
      <w:pPr>
        <w:ind w:left="1000" w:right="480" w:hanging="493"/>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intense competition for available U.S. Government business necessitating increases in time and investment for design and development.</w:t>
      </w:r>
    </w:p>
    <w:p>
      <w:pPr>
        <w:spacing w:after="0" w:line="143" w:lineRule="exact"/>
        <w:rPr>
          <w:sz w:val="20"/>
          <w:szCs w:val="20"/>
          <w:color w:val="auto"/>
        </w:rPr>
      </w:pPr>
    </w:p>
    <w:p>
      <w:pPr>
        <w:ind w:right="440" w:firstLine="510"/>
        <w:spacing w:after="0" w:line="238"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p>
    <w:p>
      <w:pPr>
        <w:spacing w:after="0" w:line="15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5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9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Our Success Depends on the Investment in and Development of New Broadband Technologies and Advanced Communications and Secure Networking Systems, Products and Services, as well as their Market Acceptance</w:t>
      </w:r>
    </w:p>
    <w:p>
      <w:pPr>
        <w:spacing w:after="0" w:line="41"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several factors, including:</w:t>
      </w:r>
    </w:p>
    <w:p>
      <w:pPr>
        <w:spacing w:after="0" w:line="54" w:lineRule="exact"/>
        <w:rPr>
          <w:sz w:val="20"/>
          <w:szCs w:val="20"/>
          <w:color w:val="auto"/>
        </w:rPr>
      </w:pPr>
    </w:p>
    <w:p>
      <w:pPr>
        <w:ind w:left="1000" w:right="2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develop market-leading satellite technologies, including high-capacity Ka-band satellites and associated ground networks;</w:t>
      </w:r>
    </w:p>
    <w:p>
      <w:pPr>
        <w:spacing w:after="0" w:line="48" w:lineRule="exact"/>
        <w:rPr>
          <w:rFonts w:ascii="Arial" w:cs="Arial" w:eastAsia="Arial" w:hAnsi="Arial"/>
          <w:sz w:val="18"/>
          <w:szCs w:val="18"/>
          <w:color w:val="auto"/>
        </w:rPr>
      </w:pPr>
    </w:p>
    <w:p>
      <w:pPr>
        <w:ind w:left="1000" w:right="28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enhance our offerings by continuing to increase satellite capacity, bandwidth cost-efficiencies and service quality and adding innovative features that differentiate our offerings from those of our competitors;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integration of various elements of our complex technologies and system architectures;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completion and introduction of new system and product designs;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achievement of acceptable product and service costs;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76" w:lineRule="exact"/>
        <w:rPr>
          <w:rFonts w:ascii="Arial" w:cs="Arial" w:eastAsia="Arial" w:hAnsi="Arial"/>
          <w:sz w:val="18"/>
          <w:szCs w:val="18"/>
          <w:color w:val="auto"/>
        </w:rPr>
      </w:pPr>
    </w:p>
    <w:p>
      <w:pPr>
        <w:ind w:left="1000" w:right="540" w:hanging="493"/>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close working relationships with major customers for the design of their new communications and secure networking systems incorporating our products and services;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of competitive products, services and technologies by existing and new competitors;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marketing and pricing strategies of our competitors with respect to competitive products and services;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our new products and services.</w:t>
      </w:r>
    </w:p>
    <w:p>
      <w:pPr>
        <w:spacing w:after="0" w:line="171" w:lineRule="exact"/>
        <w:rPr>
          <w:sz w:val="20"/>
          <w:szCs w:val="20"/>
          <w:color w:val="auto"/>
        </w:rPr>
      </w:pPr>
    </w:p>
    <w:p>
      <w:pPr>
        <w:ind w:right="140" w:firstLine="510"/>
        <w:spacing w:after="0"/>
        <w:rPr>
          <w:sz w:val="20"/>
          <w:szCs w:val="20"/>
          <w:color w:val="auto"/>
        </w:rPr>
      </w:pPr>
      <w:r>
        <w:rPr>
          <w:rFonts w:ascii="Arial" w:cs="Arial" w:eastAsia="Arial" w:hAnsi="Arial"/>
          <w:sz w:val="18"/>
          <w:szCs w:val="18"/>
          <w:color w:val="auto"/>
        </w:rPr>
        <w:t>We cannot assure you that our new technology, product or service offerings will be successful or that any of our offerings will achieve market acceptance. Many of these risks are amplified in new and emerging markets where we do not currently operate or have limited operations, but which present opportunities for international expansion following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line="236" w:lineRule="auto"/>
        <w:rPr>
          <w:sz w:val="20"/>
          <w:szCs w:val="20"/>
          <w:color w:val="auto"/>
        </w:rPr>
      </w:pPr>
      <w:r>
        <w:rPr>
          <w:rFonts w:ascii="Arial" w:cs="Arial" w:eastAsia="Arial" w:hAnsi="Arial"/>
          <w:sz w:val="18"/>
          <w:szCs w:val="18"/>
          <w:color w:val="auto"/>
        </w:rPr>
        <w:t>launch of our ViaSat-3 global constellation. The time from conception through satellite launch for a new satellite design may be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which could increase costs and divert our attention and resources from other projects. We cannot be sure that our efforts and expenditures will ultimately lead to the timely development of new offerings and technologies. In addition, defects may be found in our products after we begin deliveries that could degrade service quality, or result in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54"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The development of these capital-intensive next-generation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p>
    <w:p>
      <w:pPr>
        <w:spacing w:after="0" w:line="196"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41" w:lineRule="exact"/>
        <w:rPr>
          <w:sz w:val="20"/>
          <w:szCs w:val="20"/>
          <w:color w:val="auto"/>
        </w:rPr>
      </w:pPr>
    </w:p>
    <w:p>
      <w:pPr>
        <w:ind w:right="60" w:firstLine="510"/>
        <w:spacing w:after="0" w:line="235" w:lineRule="auto"/>
        <w:rPr>
          <w:sz w:val="20"/>
          <w:szCs w:val="20"/>
          <w:color w:val="auto"/>
        </w:rPr>
      </w:pPr>
      <w:r>
        <w:rPr>
          <w:rFonts w:ascii="Arial" w:cs="Arial" w:eastAsia="Arial" w:hAnsi="Arial"/>
          <w:sz w:val="18"/>
          <w:szCs w:val="18"/>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which in some cases may include over a million users.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fixed broadband business, defects of products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205"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color w:val="auto"/>
        </w:rPr>
        <w:t>Our Reputation and Business Could Be Materially Harmed as a Result of Data Breaches, Data Theft, Unauthorized Access or Hacking</w:t>
      </w:r>
    </w:p>
    <w:p>
      <w:pPr>
        <w:spacing w:after="0" w:line="27" w:lineRule="exact"/>
        <w:rPr>
          <w:sz w:val="20"/>
          <w:szCs w:val="20"/>
          <w:color w:val="auto"/>
        </w:rPr>
      </w:pPr>
    </w:p>
    <w:p>
      <w:pPr>
        <w:ind w:right="20" w:firstLine="510"/>
        <w:spacing w:after="0" w:line="250" w:lineRule="auto"/>
        <w:rPr>
          <w:sz w:val="20"/>
          <w:szCs w:val="20"/>
          <w:color w:val="auto"/>
        </w:rPr>
      </w:pPr>
      <w:r>
        <w:rPr>
          <w:rFonts w:ascii="Arial" w:cs="Arial" w:eastAsia="Arial" w:hAnsi="Arial"/>
          <w:sz w:val="17"/>
          <w:szCs w:val="17"/>
          <w:color w:val="auto"/>
        </w:rPr>
        <w:t>Our success depends, in part, on the secure and uninterrupted performance of our information technology systems. These systems may be subject to damage or interruption from, among other things, earthquakes, adverse weather conditions, other natural disasters, terrorist attacks, rogue employees, power loss, telecommunications failures, and cybersecurity risks. An increasing number of companies have disclosed breaches of their security, some of which have involved sophisticated and highly targeted attacks on their computer networks.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Additionally, outside parties may attempt to induce employees or users to disclose sensitive or confidential information in order to gain access to data. If unauthorized parties gain access to our information technology systems, they may be able to misappropriate assets or sensitive information (such as personal information of our customers, business partners and employees), cause interruption in our operations, corruption of data or computers, or otherwise damage our reputation and business. In such circumstances, we could be held liable to our customers or other parties, or be subject to regulatory or other actions for breaching privacy rules. Any compromise of our security could result in a loss of confidence in our security measures, and subject us to litigation, civil or criminal penalties, and negative publicity that could adversely affect our financial condition and results of operations. We could also suffer other negative consequences, including significant remediation costs, significant increased cybersecurity protection costs, loss of material revenues resulting from attacks on our satellites or technology, and the unauthorized use of proprietary information or the failure to retain or attract customers following an attack.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99" w:lineRule="exact"/>
        <w:rPr>
          <w:sz w:val="20"/>
          <w:szCs w:val="20"/>
          <w:color w:val="auto"/>
        </w:rPr>
      </w:pPr>
    </w:p>
    <w:p>
      <w:pPr>
        <w:ind w:right="300" w:firstLine="510"/>
        <w:spacing w:after="0" w:line="237" w:lineRule="auto"/>
        <w:rPr>
          <w:sz w:val="20"/>
          <w:szCs w:val="20"/>
          <w:color w:val="auto"/>
        </w:rPr>
      </w:pPr>
      <w:r>
        <w:rPr>
          <w:rFonts w:ascii="Arial" w:cs="Arial" w:eastAsia="Arial" w:hAnsi="Arial"/>
          <w:sz w:val="18"/>
          <w:szCs w:val="18"/>
          <w:color w:val="auto"/>
        </w:rPr>
        <w:t>A small number of our contracts account for a significant percentage of our revenues. Our five largest contracts generated approximately 16% of our total revenues in fiscal year 2021. Our largest revenue-producing contracts are related to our tactical data link products and fixed satellite networks.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51"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A number of our commercial customers have in the past, and may in the future, experience financial difficulties. Many of our commercial customers face risks that are similar to those we encounter, including risks associated with market growth, product defects, market acceptance of products and services, and the ability to obtain sufficient capital.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85"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We are often party to government and commercial contracts involving the development of new products. We derived approximately 23% of our total revenues for fiscal year 2021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A substantial majority of revenues in our government systems and commercial networks segments are derived from contracts with fixed prices.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Because many of these contracts involve new technologies and applications and can last for years, unforeseen events, such as technological difficulties, fluctuations in the price of raw materials,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9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color w:val="auto"/>
        </w:rPr>
        <w:t>Our Reliance on a Limited Number of Third Parties to Manufacture and Supply Our Products and the Components Contained therein Exposes Us to Various Risks</w:t>
      </w:r>
    </w:p>
    <w:p>
      <w:pPr>
        <w:spacing w:after="0" w:line="41"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151"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2" w:name="page33"/>
    <w:bookmarkEnd w:id="32"/>
    <w:p>
      <w:pPr>
        <w:ind w:right="100"/>
        <w:spacing w:after="0" w:line="251" w:lineRule="auto"/>
        <w:rPr>
          <w:sz w:val="20"/>
          <w:szCs w:val="20"/>
          <w:color w:val="auto"/>
        </w:rPr>
      </w:pPr>
      <w:r>
        <w:rPr>
          <w:rFonts w:ascii="Arial" w:cs="Arial" w:eastAsia="Arial" w:hAnsi="Arial"/>
          <w:sz w:val="17"/>
          <w:szCs w:val="17"/>
          <w:color w:val="auto"/>
        </w:rPr>
        <w:t>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Moreover, an outbreak of a pandemic such as the COVID-19 pandemic and associated quarantines, closures and travel restrictions or other major event may cause temporary or long-term disruptions in our supply chain and distribution systems and/or delays in the delivery of inventory.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99"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Executive Chairman, Mark Dankberg, and our Chief Executive Officer, Richard Baldridge,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to attract and retain such employees, or experience difficulties in performing under our contracts if our needs for such employees were unmet.</w:t>
      </w:r>
    </w:p>
    <w:p>
      <w:pPr>
        <w:spacing w:after="0" w:line="19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Changes in Regulation and Currency Fluctuations</w:t>
      </w:r>
    </w:p>
    <w:p>
      <w:pPr>
        <w:spacing w:after="0" w:line="2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7"/>
          <w:szCs w:val="17"/>
          <w:color w:val="auto"/>
        </w:rPr>
        <w:t>Approximately 9% of our total revenues in fiscal year 2021 were derived from international sales. Many of our international sales may be denominated in foreign currencies. Because we do not currently engage in, nor do we anticipate engaging in, material foreign currency hedging transactions related to international sales, a decrease in the value of foreign currencies relative to the U.S. dollar could result in losses from transactions denominated in foreign currencies. This decrease in value could also make our products less price-competitive.</w:t>
      </w:r>
    </w:p>
    <w:p>
      <w:pPr>
        <w:spacing w:after="0" w:line="13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There are additional risks in conducting business internationally, including unexpected changes in laws, policies and regulatory requirements, including but not limited to regulations related to import-export control; increased cost of localizing systems in foreign countries; increased sales and marketing and R&amp;D expenses; availability of suitable export financing; timing and availability of export licenses; imposition of taxes, tariffs, embargoes and other trade barriers; political and economic instability, including as a result of the United Kingdom’s “Brexit” withdrawal from the EU; issues related to the political relationship between the United States and other countries; fluctuations in currency exchange rates, foreign exchange controls and restrictions on cash repatriation; compliance with international laws and U.S. laws affecting the activities of U.S. companies abroad; challenges in staffing and managing foreign operations; difficulties in managing distributors; requirements for additional liquidity to fund our international operations; ineffective legal protection of our intellectual property rights in certain countries; potentially adverse tax consequences; potential difficulty in making adequate payment arrangements; and potential difficulty in collecting accounts receivable. As a result of these and other risks, we may be unsuccessful in implementing our business plan for our broadband services business internationally, or we may not be able to achieve the revenues that we expect.</w:t>
      </w:r>
    </w:p>
    <w:p>
      <w:pPr>
        <w:spacing w:after="0" w:line="151" w:lineRule="exact"/>
        <w:rPr>
          <w:sz w:val="20"/>
          <w:szCs w:val="20"/>
          <w:color w:val="auto"/>
        </w:rPr>
      </w:pPr>
    </w:p>
    <w:p>
      <w:pPr>
        <w:ind w:right="240" w:firstLine="510"/>
        <w:spacing w:after="0"/>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85"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Future Sales of Our Common Stock Could Lower Our Stock Price and Dilute Existing Stockholders</w:t>
      </w:r>
    </w:p>
    <w:p>
      <w:pPr>
        <w:spacing w:after="0" w:line="9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For example, during the third quarter of fiscal year 2017 we completed the sale of</w:t>
      </w:r>
    </w:p>
    <w:p>
      <w:pPr>
        <w:spacing w:after="0" w:line="16"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approximately 7.5 million shares of our common stock in an underwritten public offering. Additionally, during the second quarter of fiscal year 2021, we completed the sale of approximately 4.5 million shares of our common stock to certain accredited investors in a private placement transaction exempt from registration under the Securities Act of 1933, as amended.</w:t>
      </w:r>
    </w:p>
    <w:p>
      <w:pPr>
        <w:spacing w:after="0" w:line="14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We may also issue additional shares of common stock to finance future acquisitions. For example, during the first quarter of fiscal year 2022, we issued approximately 4.0 million shares of our common stock as consideration for our acquisition of RigNet. Additionally, a substantial number of shares of our common stock are available for future sale pursuant to stock options, warrants or issuance pursuant to our 1996 Equity Participation Plan of ViaSat, Inc. and the ViaSat, Inc. Employee Stock Purchase Plan.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 In addition, these sales may be dilutive to existing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Our Stock Price to Be Volatile, and You May Lose All or Some of Your Investment</w:t>
      </w:r>
    </w:p>
    <w:p>
      <w:pPr>
        <w:spacing w:after="0" w:line="85"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The market price of our common stock has been volatile in the past. For example, between April 1, 2019 and March 31, 2021, the market price of our common stock ranged from $97.31 to $25.10 (the low price occurred during the fourth quarter of fiscal year 2020, during a period when the COVID-19 pandemic drove significant volatility and dislocation in the stock market generally). Trading prices may continue to fluctuate in response to a number of events and factors, including the following:</w:t>
      </w:r>
    </w:p>
    <w:p>
      <w:pPr>
        <w:spacing w:after="0" w:line="70"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operating results and announcements of innovations;</w:t>
      </w:r>
    </w:p>
    <w:p>
      <w:pPr>
        <w:spacing w:after="0" w:line="76" w:lineRule="exact"/>
        <w:rPr>
          <w:rFonts w:ascii="Arial" w:cs="Arial" w:eastAsia="Arial" w:hAnsi="Arial"/>
          <w:sz w:val="18"/>
          <w:szCs w:val="18"/>
          <w:color w:val="auto"/>
        </w:rPr>
      </w:pPr>
    </w:p>
    <w:p>
      <w:pPr>
        <w:ind w:left="1000" w:right="320" w:hanging="493"/>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the acquisition, construction and launch of satellites or the uptake of our in-flight services and IFC systems by commercial airlines;</w:t>
      </w:r>
    </w:p>
    <w:p>
      <w:pPr>
        <w:spacing w:after="0" w:line="48"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products, services and strategic developments by us or our competitors;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 distributors, suppliers and joint venture partners;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estimates and recommendations by securities analysts or failure to meet their expectations;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 or other changes in the industries in which we operate;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market conditions in our industry or the economy as a whole.</w:t>
      </w:r>
    </w:p>
    <w:p>
      <w:pPr>
        <w:spacing w:after="0" w:line="158"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Utilize All of Our Deferred Tax Assets</w:t>
      </w:r>
    </w:p>
    <w:p>
      <w:pPr>
        <w:spacing w:after="0" w:line="85"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believe that we are likely to have sufficient taxable income in the future to fully realize our net deferred tax assets (consisting primarily of net operating loss and tax credit carryforwards, reserves and accruals that are not currently deductible for tax purposes). However, some or all of these deferred tax assets could expire unused if we are unable to generate sufficient taxable income in the future to take advantage of them or we enter into transactions that limit our right to use them. If it became more likely than not that deferred tax assets would expire unused, we would have to increase our valuation allowance against deferred tax assets to reflect this fact, which could materially increase our income tax expense, and adversely affect our results of operations and tangible net worth in the period in which it is recorded.</w:t>
      </w:r>
    </w:p>
    <w:p>
      <w:pPr>
        <w:spacing w:after="0" w:line="149"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Moreover, our ability to utilize our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three-year period. The determination of whether an ownership change has occurred for purposes of Section 382 of the Code is complex and requires significant judgment. Moreover, the number of shares of our common stock outstanding at any time for purposes of Section 382 of the Code may differ from the number of shares that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4" w:name="page35"/>
    <w:bookmarkEnd w:id="34"/>
    <w:p>
      <w:pPr>
        <w:ind w:right="120"/>
        <w:spacing w:after="0"/>
        <w:rPr>
          <w:sz w:val="20"/>
          <w:szCs w:val="20"/>
          <w:color w:val="auto"/>
        </w:rPr>
      </w:pPr>
      <w:r>
        <w:rPr>
          <w:rFonts w:ascii="Arial" w:cs="Arial" w:eastAsia="Arial" w:hAnsi="Arial"/>
          <w:sz w:val="18"/>
          <w:szCs w:val="18"/>
          <w:color w:val="auto"/>
        </w:rPr>
        <w:t>we report as outstanding in our filings with the SEC. If an ownership change occurs, our ability to utilize our net operating loss and tax credit carryforwards would be negatively impacted, which could have a material adverse effect on our business, financial condition and results of operations.</w:t>
      </w:r>
    </w:p>
    <w:p>
      <w:pPr>
        <w:spacing w:after="0" w:line="19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41"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w:t>
      </w:r>
    </w:p>
    <w:p>
      <w:pPr>
        <w:spacing w:after="0" w:line="54"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serving a staggered three-year term;</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in one or more series;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7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We are also subject to Section 203 of the Delaware General Corporation Law, which imposes restrictions on mergers and other business combinations between us and any holder of 15% or more of our common stock. In addition, under the Indentures, if certain “change of control” events occur, each holder of Notes may require us to repurchase all of such holder’s Notes at a purchase price equal to 101% of the principal amount of such Notes. Additionally, our Credit Facilities provide for an event of default upon the occurrence of certain specified “change of control” events.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63"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Our International Sales and Operations Are Subject to Applicable Laws Relating to Trade, Export Controls and Foreign Corrupt Practices, the Violation of Which Could Adversely Affect Our Operations</w:t>
      </w:r>
    </w:p>
    <w:p>
      <w:pPr>
        <w:spacing w:after="0" w:line="4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must comply with all applicable export control laws and regulations of the United States and other countries. U.S. laws and regulations applicable to us include the Arms Export Control Act, the International Traffic in Arms Regulations (ITAR), the Export Administration Regulations (EAR) and the trade sanctions laws and regulations administered by the U.S. Department of the Treasury’s Office of Foreign Assets Control (OFAC). The export of certain satellite hardware, services and technical data relating to satellites is regulated by the U.S. Department of State under ITAR. Other items are controlled for export by the U.S. Department of Commerce under the EAR. We cannot provide services to certain countries subject to U.S. trade sanctions unless we first obtain the necessary authorizations from OFAC. In addition, we are subject to the Foreign Corrupt Practices Act, which generally bars bribes or unreasonable gifts to foreign governments or officials. Violations of these laws or regulations could result in significant additional sanctions including fines, more onerous compliance requirements, more extensive debarments from export privileges or loss of authorizations needed to conduct aspects of our international business. A violation of ITAR or the other regulations enumerated above could materially adversely affect our business, financial condition and results of operations.</w:t>
      </w:r>
    </w:p>
    <w:p>
      <w:pPr>
        <w:spacing w:after="0" w:line="19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Changes in the Regulatory Environment Could Have a Material Adverse Impact on Our Competitive Position, Growth and Financial Performance</w:t>
      </w:r>
    </w:p>
    <w:p>
      <w:pPr>
        <w:spacing w:after="0" w:line="27"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radio spectrum, the ability to operate satellites at specific orbital locations in space, the licensing of earth stations and other radio transmitters, the provision of communications services, and the design, manufacture and marketing of communications systems and networking infrastructure. The space stations and ground network we use to provide our broadband services operate using some spectrum that is regulated for use on a primary basis for certain types of the satellite services we provide, some spectrum that is regulated for use on a shared basis with terrestrial wireless services, and some spectrum that is regulated primarily for terrestrial wireless and other uses but that we are authorized to use on a secondary or non-interference basis. Moreover, spectrum availability varies from country to country, and even within countries, within our service areas.</w:t>
      </w:r>
    </w:p>
    <w:p>
      <w:pPr>
        <w:spacing w:after="0" w:line="15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regulations. We cannot predict when or whether applicable laws or regulations may come into effect or change, or what the cost and time necessary to comply with such new or updated laws or regulations may be.</w:t>
      </w:r>
    </w:p>
    <w:p>
      <w:pPr>
        <w:spacing w:after="0" w:line="148" w:lineRule="exact"/>
        <w:rPr>
          <w:sz w:val="20"/>
          <w:szCs w:val="20"/>
          <w:color w:val="auto"/>
        </w:rPr>
      </w:pPr>
    </w:p>
    <w:p>
      <w:pPr>
        <w:ind w:right="140" w:firstLine="510"/>
        <w:spacing w:after="0" w:line="246" w:lineRule="auto"/>
        <w:rPr>
          <w:sz w:val="20"/>
          <w:szCs w:val="20"/>
          <w:color w:val="auto"/>
        </w:rPr>
      </w:pPr>
      <w:r>
        <w:rPr>
          <w:rFonts w:ascii="Arial" w:cs="Arial" w:eastAsia="Arial" w:hAnsi="Arial"/>
          <w:sz w:val="18"/>
          <w:szCs w:val="18"/>
          <w:color w:val="auto"/>
        </w:rPr>
        <w:t>Changes in laws or regulations, including changes in the way spectrum is regulated and/or in regulations governing our products and services, changes in the way spectrum is made available to us, or is allowed to be used by others,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5" w:name="page36"/>
    <w:bookmarkEnd w:id="35"/>
    <w:p>
      <w:pPr>
        <w:spacing w:after="0" w:line="238" w:lineRule="auto"/>
        <w:rPr>
          <w:sz w:val="20"/>
          <w:szCs w:val="20"/>
          <w:color w:val="auto"/>
        </w:rPr>
      </w:pPr>
      <w:r>
        <w:rPr>
          <w:rFonts w:ascii="Arial" w:cs="Arial" w:eastAsia="Arial" w:hAnsi="Arial"/>
          <w:sz w:val="18"/>
          <w:szCs w:val="18"/>
          <w:color w:val="auto"/>
        </w:rPr>
        <w:t>competing uses of spectrum or orbital locations, could, directly or indirectly, affect our operations or the operations of our distribution partners, increase the cost of providing our products and services and make our products and services less competitive. Some regulators are considering new or additional terrestrial services in the spectrum in which we operate, which may not be compatible with the way we use, or plan to use, that same spectrum. In certain instances, such changes could have a material adverse effect on our business, financial condition and results of operations.</w:t>
      </w:r>
    </w:p>
    <w:p>
      <w:pPr>
        <w:spacing w:after="0" w:line="148" w:lineRule="exact"/>
        <w:rPr>
          <w:sz w:val="20"/>
          <w:szCs w:val="20"/>
          <w:color w:val="auto"/>
        </w:rPr>
      </w:pPr>
    </w:p>
    <w:p>
      <w:pPr>
        <w:ind w:right="260" w:firstLine="510"/>
        <w:spacing w:after="0"/>
        <w:rPr>
          <w:sz w:val="20"/>
          <w:szCs w:val="20"/>
          <w:color w:val="auto"/>
        </w:rPr>
      </w:pPr>
      <w:r>
        <w:rPr>
          <w:rFonts w:ascii="Arial" w:cs="Arial" w:eastAsia="Arial" w:hAnsi="Arial"/>
          <w:sz w:val="18"/>
          <w:szCs w:val="18"/>
          <w:color w:val="auto"/>
        </w:rPr>
        <w:t>Changes in U.S. political, regulatory and economic conditions or in laws and policies governing foreign trade, manufacturing, development and investment in the countries where we do business or source goods and materials, and any negative sentiments towards the United States as a result of such changes, could adversely affect our business.</w:t>
      </w:r>
    </w:p>
    <w:p>
      <w:pPr>
        <w:spacing w:after="0" w:line="149" w:lineRule="exact"/>
        <w:rPr>
          <w:sz w:val="20"/>
          <w:szCs w:val="20"/>
          <w:color w:val="auto"/>
        </w:rPr>
      </w:pPr>
    </w:p>
    <w:p>
      <w:pPr>
        <w:jc w:val="both"/>
        <w:ind w:right="140" w:firstLine="510"/>
        <w:spacing w:after="0" w:line="248" w:lineRule="auto"/>
        <w:rPr>
          <w:sz w:val="20"/>
          <w:szCs w:val="20"/>
          <w:color w:val="auto"/>
        </w:rPr>
      </w:pPr>
      <w:r>
        <w:rPr>
          <w:rFonts w:ascii="Arial" w:cs="Arial" w:eastAsia="Arial" w:hAnsi="Arial"/>
          <w:sz w:val="17"/>
          <w:szCs w:val="17"/>
          <w:color w:val="auto"/>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w:t>
      </w:r>
    </w:p>
    <w:p>
      <w:pPr>
        <w:spacing w:after="0" w:line="2" w:lineRule="exact"/>
        <w:rPr>
          <w:sz w:val="20"/>
          <w:szCs w:val="20"/>
          <w:color w:val="auto"/>
        </w:rPr>
      </w:pPr>
    </w:p>
    <w:p>
      <w:pPr>
        <w:ind w:right="120" w:firstLine="8"/>
        <w:spacing w:after="0"/>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a Negative Audit by the U.S. Government</w:t>
      </w:r>
    </w:p>
    <w:p>
      <w:pPr>
        <w:spacing w:after="0" w:line="99"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Our success depends on our ability to protect our proprietary rights to the technologies we use in our products and services. We generally rely on a combination of patents, copyrights, trademarks and trade secret laws and contractual rights to protect our proprietary rights. We also enter into confidentiality agreements with our employees, consultants and corporate partners, and control access to and distribution of our proprietary information. Despite our efforts, unauthorized parties may attempt to copy or obtain and use our proprietary information.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 February 2012 we successfully sued Space Systems/Loral, Inc. and its former parent company Loral Space &amp; Communications, Inc. for patent infringement and breach of contract relating to the manufacture of ViaSat-1. If we are unsuccessful in any such litigation in the future, our rights to enforce such intellectual property may be impaired or we could lose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Our Involvement in Litigation Relating to Intellectual Property Claims May Have a Material Adverse Effect on Our Business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8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77"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b w:val="1"/>
          <w:b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4"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have a significant amount of indebtedness. As of March 31, 2021, the aggregate principal amount of our total outstanding indebtedness was $1.9 billion, which was comprised of $700.0 million in principal amount of 5.625% Senior Notes due 2025 (the 2025 Notes), $600.0 million in principal amount of 5.625% Senior Secured Notes due 2027 (the 2027 Notes), $400.0 million in principal amount of 6.500% Senior Notes due 2028 (the 2028 Notes), no outstanding borrowings under our revolving credit facility (the Revolving Credit Facility and, together with the Ex-Im Credit Facility, the Credit Facilities), $ 98.3 million in principal amount of outstanding borrowings under the Ex-Im Credit Facility and $56.3 million of finance lease obligations. As of March 31, 2021, we had undrawn availability of $673.7 million under our Revolving Credit Facility and no remaining availability under our Ex-Im Credit Facility.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63"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it more difficult for us to satisfy our debt obligations;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76" w:lineRule="exact"/>
        <w:rPr>
          <w:rFonts w:ascii="Arial" w:cs="Arial" w:eastAsia="Arial" w:hAnsi="Arial"/>
          <w:sz w:val="18"/>
          <w:szCs w:val="18"/>
          <w:color w:val="auto"/>
        </w:rPr>
      </w:pPr>
    </w:p>
    <w:p>
      <w:pPr>
        <w:ind w:left="1000" w:right="560" w:hanging="493"/>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48" w:lineRule="exact"/>
        <w:rPr>
          <w:rFonts w:ascii="Arial" w:cs="Arial" w:eastAsia="Arial" w:hAnsi="Arial"/>
          <w:sz w:val="18"/>
          <w:szCs w:val="18"/>
          <w:color w:val="auto"/>
        </w:rPr>
      </w:pPr>
    </w:p>
    <w:p>
      <w:pPr>
        <w:ind w:left="1000" w:right="14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54"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expose us to variable interest rate risk to the extent we make borrowings under our Revolving Credit Facility;</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71"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We May Incur Additional Indebtedness, which Could Further Increase the Risks Associated with Our Leverage</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We may incur significant additional indebtedness in the future, which may include financing relating to future satellites, potential acquisitions, joint ventures and strategic alliances, working capital, capital expenditures or general corporate purposes. For example, we may incur additional indebtedness to fund our investments in our ViaSat-3 class satellites. As of March 31, 2021, we had undrawn availability of $673.7 million under our Revolving Credit Facility. In addition, the Credit Facilities and the indentures (collectively, the Indentures) governing the 2025 Notes, the 2027 Notes and the 2028 Notes (collectively, the Notes) permit us, subject to specified limitations, to incur additional indebtedness, including secured indebtedness.</w:t>
      </w:r>
    </w:p>
    <w:p>
      <w:pPr>
        <w:spacing w:after="0" w:line="15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In February 2019,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and agents at amounts, prices, interest rates and other terms to be determined at the time of the offering. If our level of indebtedness increases significantly, the related risks that we now face would intensify.</w:t>
      </w:r>
    </w:p>
    <w:p>
      <w:pPr>
        <w:spacing w:after="0" w:line="194"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b w:val="1"/>
          <w:bCs w:val="1"/>
          <w:color w:val="auto"/>
        </w:rPr>
        <w:t>We May Not Be Able to Generate Sufficient Cash to Service All of Our Indebtedness and Fund Our Working Capital and Capital Expenditures or Refinance Our Indebtedness, and May Be Forced to Take Other Actions to Satisfy Our Obligations under Our Indebtedness, which May Not Be Successful</w:t>
      </w:r>
    </w:p>
    <w:p>
      <w:pPr>
        <w:spacing w:after="0" w:line="42"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Our ability to make scheduled payments on or to refinance our indebtedness will depend upon our future operating performance and on our ability to generate cash flow in the future, which is subject to economic, financial, business, competitive, legislative, regulatory and other factors beyond our control. We cannot assure you that our business will generate sufficient cash flow from operations, or that future borrowings, including under our Revolving Credit Facility, will be sufficient to enable us to pay our indebtedness, or to fund our other liquidity needs. Moreover, there can be no assurance that we will be able to refinance our debt obligations on commercially reasonable terms, or at all.</w:t>
      </w:r>
    </w:p>
    <w:p>
      <w:pPr>
        <w:spacing w:after="0" w:line="151"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Facilities and the Indentures restrict our ability to dispose of assets and use the proceeds from the disposition, and may also restrict our ability to raise debt or equity capital to repay or service our indebtedness.</w:t>
      </w:r>
    </w:p>
    <w:p>
      <w:pPr>
        <w:spacing w:after="0" w:line="151"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If we cannot make scheduled payments on our debt, we will be in default and, as a result, the lenders under our Credit Facilities and the holders of the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Debt Agreements Could Limit Our Ability to Implement Our Business Plan</w:t>
      </w:r>
    </w:p>
    <w:p>
      <w:pPr>
        <w:spacing w:after="0" w:line="85" w:lineRule="exact"/>
        <w:rPr>
          <w:sz w:val="20"/>
          <w:szCs w:val="20"/>
          <w:color w:val="auto"/>
        </w:rPr>
      </w:pPr>
    </w:p>
    <w:p>
      <w:pPr>
        <w:ind w:right="200" w:firstLine="510"/>
        <w:spacing w:after="0" w:line="237" w:lineRule="auto"/>
        <w:rPr>
          <w:sz w:val="20"/>
          <w:szCs w:val="20"/>
          <w:color w:val="auto"/>
        </w:rPr>
      </w:pPr>
      <w:r>
        <w:rPr>
          <w:rFonts w:ascii="Arial" w:cs="Arial" w:eastAsia="Arial" w:hAnsi="Arial"/>
          <w:sz w:val="18"/>
          <w:szCs w:val="18"/>
          <w:color w:val="auto"/>
        </w:rPr>
        <w:t>The Credit Facilities and the Indentures contain covenants that may restrict our ability to implement our business plan, borrow under our Credit Facilities or secure additional financing, respond to changing conditions, and engage in opportunistic transactions. The Credit Facilities and the Indentures include covenants restricting, among other things, our ability to incur indebtedness, issue redeemable or preferred stock, incur liens, sell or dispose of assets (including capital stock of subsidiaries), make loans and investments, pay dividends, enter into affiliate transactions, reduce our satellite insurance and consolidate or merge with or into, or sell substantially all of our assets to, another person.</w:t>
      </w:r>
    </w:p>
    <w:p>
      <w:pPr>
        <w:spacing w:after="0" w:line="151"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In addition, our Credit Facilities require us to comply with certain financial covenants, including a maximum total leverage ratio and minimum interest coverage ratio. Our Revolving Credit Facility and the 2027 Notes are equally and ratably secured by first-priority liens on substantially all of the assets of our company, including the stock of our significant subsidiaries, and the assets of the subsidiary guarantors under our Revolving Credit Facility and the indenture governing the 2027 Notes. Our Ex-Im Credit Facility is guaranteed by Viasat and is secured by first-priority liens on the ViaSat-2 satellite and related assets, as well as the stock of our foreign subsidiary that owns the ViaSat-2 satellite.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38" w:name="page39"/>
    <w:bookmarkEnd w:id="38"/>
    <w:p>
      <w:pPr>
        <w:ind w:firstLine="510"/>
        <w:spacing w:after="0" w:line="236" w:lineRule="auto"/>
        <w:rPr>
          <w:sz w:val="20"/>
          <w:szCs w:val="20"/>
          <w:color w:val="auto"/>
        </w:rPr>
      </w:pPr>
      <w:r>
        <w:rPr>
          <w:rFonts w:ascii="Arial" w:cs="Arial" w:eastAsia="Arial" w:hAnsi="Arial"/>
          <w:sz w:val="18"/>
          <w:szCs w:val="18"/>
          <w:color w:val="auto"/>
        </w:rPr>
        <w:t>If we default under our Credit Facilities or the Indentures, all outstanding amounts thereunder could become immediately due and payable. In the past we violated covenants in our former revolving credit facilities and received waivers for these violations. We cannot assure you that we will be able to comply with covenants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Facility,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Indentures, we may need additional financing to service or extinguish our indebtedness. We may not be able to obtain financing or refinancing on terms acceptable to us, if at all. We cannot assure you that we would have sufficient funds to repay all the outstanding amounts under our Credit Facilities or the Indentures, and any acceleration of amounts due would have a material adverse effect on our liquidity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85" w:lineRule="exact"/>
        <w:rPr>
          <w:sz w:val="20"/>
          <w:szCs w:val="20"/>
          <w:color w:val="auto"/>
        </w:rPr>
      </w:pPr>
    </w:p>
    <w:p>
      <w:pPr>
        <w:ind w:right="280" w:firstLine="510"/>
        <w:spacing w:after="0" w:line="238" w:lineRule="auto"/>
        <w:rPr>
          <w:sz w:val="20"/>
          <w:szCs w:val="20"/>
          <w:color w:val="auto"/>
        </w:rPr>
      </w:pPr>
      <w:r>
        <w:rPr>
          <w:rFonts w:ascii="Arial" w:cs="Arial" w:eastAsia="Arial" w:hAnsi="Arial"/>
          <w:sz w:val="18"/>
          <w:szCs w:val="18"/>
          <w:color w:val="auto"/>
        </w:rPr>
        <w:t>Our worldwide headquarters are located at our Carlsbad, California campus. In addition to our Carlsbad campus, we have facilities, offices or earth stations located across the United States including our Tempe, Arizona facility, and across the globe. Although we believe that our existing facilities are suitable and adequate for our present purposes, we anticipate operating additional regional sales offices in fiscal year 2022 and beyond. Each of our segments uses each of these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PART II</w:t>
      </w:r>
    </w:p>
    <w:p>
      <w:pPr>
        <w:spacing w:after="0" w:line="15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27" w:lineRule="exact"/>
        <w:rPr>
          <w:sz w:val="20"/>
          <w:szCs w:val="20"/>
          <w:color w:val="auto"/>
        </w:rPr>
      </w:pPr>
    </w:p>
    <w:p>
      <w:pPr>
        <w:ind w:right="440" w:firstLine="510"/>
        <w:spacing w:after="0"/>
        <w:rPr>
          <w:sz w:val="20"/>
          <w:szCs w:val="20"/>
          <w:color w:val="auto"/>
        </w:rPr>
      </w:pPr>
      <w:r>
        <w:rPr>
          <w:rFonts w:ascii="Arial" w:cs="Arial" w:eastAsia="Arial" w:hAnsi="Arial"/>
          <w:sz w:val="18"/>
          <w:szCs w:val="18"/>
          <w:color w:val="auto"/>
        </w:rPr>
        <w:t>Our common stock is traded on the Nasdaq Global Select Market under the symbol “VSAT.” As of May 14, 2021, there were approximately 501 holders of record of our common stock. A substantially greater number of holders of Viasat common stock are “street name” or beneficial holders, whose shares are held of record by banks, brokers and other financial institutions.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Indentures restrict our ability to declare or pay dividends on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85"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This item is no longer required as we have elected to early apply the changes to Item 301 of Regulation S-K contained in SEC Release No. 33-10890.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ind w:right="1260"/>
        <w:spacing w:after="0" w:line="333"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ind w:right="20" w:firstLine="510"/>
        <w:spacing w:after="0" w:line="236" w:lineRule="auto"/>
        <w:rPr>
          <w:sz w:val="20"/>
          <w:szCs w:val="20"/>
          <w:color w:val="auto"/>
        </w:rPr>
      </w:pPr>
      <w:r>
        <w:rPr>
          <w:rFonts w:ascii="Arial" w:cs="Arial" w:eastAsia="Arial" w:hAnsi="Arial"/>
          <w:sz w:val="18"/>
          <w:szCs w:val="18"/>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vertical integration strategy and ability to effectively cross-deploy technologies between government and commercial applications and segments as well as across different geographic markets, provides us with a strong foundation to sustain and enhance our leadership in advanced communications and networking technologies.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8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On April 30, 2021, subsequent to fiscal year end, we purchased the remaining 51% interest in Euro Infrastructure Co. from Eutelsat for approximately €142.6 million, or approximately $172.7 million (subject to customary post-closing net working capital and net debt adjustments). The purchase price was funded with available cash, resulting in a cash outlay of approximately €41.6 million, or $50.4 million, net of approximately €101.0 million, or $122.3 million, of Euro Infrastructure Co.’s cash on hand.</w:t>
      </w:r>
    </w:p>
    <w:p>
      <w:pPr>
        <w:spacing w:after="0" w:line="151"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On April 30, 2021, subsequent to fiscal year end, we acquired RigNet in exchange for the issuance of approximately 4.0 million shares of our common stock and a de minimis amount of cash in respect of fractional shares. RigNet is a leading provider of ultra-secure, intelligent networking solutions and specialized applications.</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Given the timing of the closing of these acquisitions, we are currently in the process of valuing the assets acquired and liabilities assumed in each of the business combinations. Therefore, we are not yet able to provide the amounts to be recognized for the major classes of assets acquired and liabilities assumed and other disclosures required by ASC 805, Business Combinations. We will disclose this and other related information in our Quarterly Report on Form 10-Q for the quarter ending June 30,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85" w:lineRule="exact"/>
        <w:rPr>
          <w:sz w:val="20"/>
          <w:szCs w:val="20"/>
          <w:color w:val="auto"/>
        </w:rPr>
      </w:pPr>
    </w:p>
    <w:p>
      <w:pPr>
        <w:ind w:right="420" w:firstLine="510"/>
        <w:spacing w:after="0"/>
        <w:rPr>
          <w:sz w:val="20"/>
          <w:szCs w:val="20"/>
          <w:color w:val="auto"/>
        </w:rPr>
      </w:pPr>
      <w:r>
        <w:rPr>
          <w:rFonts w:ascii="Arial" w:cs="Arial" w:eastAsia="Arial" w:hAnsi="Arial"/>
          <w:sz w:val="18"/>
          <w:szCs w:val="18"/>
          <w:color w:val="auto"/>
        </w:rPr>
        <w:t>During the second quarter of fiscal year 2021, we issued and sold an aggregate of 4,474,559 shares of our common stock at a purchase price of $39.11 per share to certain accredited investors in a private placement transaction exempt from registration under the Securities Act of 1933, as amended, resulting in net proceeds of approximately $174.7 million after deducting offering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9"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In March 2020, the global outbreak of COVID-19 was declared a pandemic by the World Health Organization and a national emergency by the U.S. Government. The COVID-19 pandemic and attempts to contain it, such as mandatory closures, “shelter-in-place” orders and travel restrictions, have caused significant disruptions and adverse effects on U.S. and global economies, including impacts to supply chains, customer demand and financial markets. We have taken measures to protect the health and safety of our employees and to work with our customers, employees, suppliers, subcontractors, distributors, resellers and communities to address the disruptions from the pandemic. Although our financial results for the year ended March 31, 2021 were impacted by the pandemic, the impact was not material to our financial position, results of operations or cash flows in such period, with negative impacts particularly in our commercial aviation business offset by strong demand in our fixed broadband services business and other parts of our business. We continue to expect our diversified businesses to provide resiliency as we enter fiscal year 2022.</w:t>
      </w:r>
    </w:p>
    <w:p>
      <w:pPr>
        <w:spacing w:after="0" w:line="153"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Our government systems segment, which represented 47% and 49% of our total revenues during fiscal years 2021 and 2020, respectively, continued to perform in line with our expectations. Demand for products and services in our government systems segment remained strong despite the evolving COVID-19 pandemic, although our government business experienced some administrative delays on certain contractual vehicles as government customers continue to adjust to the challenges inherent in the remote work environment resulting from the COVID-19 pandemic.</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1" w:name="page42"/>
    <w:bookmarkEnd w:id="41"/>
    <w:p>
      <w:pPr>
        <w:ind w:firstLine="510"/>
        <w:spacing w:after="0" w:line="236" w:lineRule="auto"/>
        <w:rPr>
          <w:sz w:val="20"/>
          <w:szCs w:val="20"/>
          <w:color w:val="auto"/>
        </w:rPr>
      </w:pPr>
      <w:r>
        <w:rPr>
          <w:rFonts w:ascii="Arial" w:cs="Arial" w:eastAsia="Arial" w:hAnsi="Arial"/>
          <w:sz w:val="18"/>
          <w:szCs w:val="18"/>
          <w:color w:val="auto"/>
        </w:rPr>
        <w:t>During fiscal year 2021, through the COVID-19 pandemic, we experienced increased demand for our premium high-speed plans in our fixed broadband services business, reflecting customers’ increased bandwidth needs in a remote working/distance schooling environment. However, the pandemic also caused a severe decline in global air traffic during fiscal year 2021, which reduced demand for our in-flight services and IFC systems in our satellite services and commercial networks segments, respectively. While current global airline traffic is still a fraction of the activity in fiscal year 2020, domestic airline traffic is showing signs of improvement. As a result, our in-flight services business showed modest improvement in the quarter ended March 31, 2021 compared to the quarter ended December 31, 2020 with increased planes in service and passenger volumes. We expect to continue to see negative impacts on revenues and operating cash flows from our IFC businesses in fiscal year 2022 and potentially beyond, but for the effects to continue to lessen over time with increases in passenger air traffic and the return to service of additional currently inactive aircraft. In each of fiscal years 2021 and 2020, less than 10% of our total revenues were generated by services and products provided to commercial airlines reported in our satellite services and commercial networks segments.</w:t>
      </w:r>
    </w:p>
    <w:p>
      <w:pPr>
        <w:spacing w:after="0" w:line="151"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extent of the impact of the COVID-19 pandemic on our business in fiscal year 2022 and potentially beyond will depend on many factors, including the duration and scope of the public health emergency, the extent, duration and effectiveness of containment actions taken, the speed and extent of vaccination programs, the extent of disruption to important global, regional and local supply chains and economic markets, and the impact of the pandemic on overall supply and demand, global air travel, consumer confidence, discretionary spending levels and levels of economic activity.</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99" w:lineRule="exact"/>
        <w:rPr>
          <w:sz w:val="20"/>
          <w:szCs w:val="20"/>
          <w:color w:val="auto"/>
        </w:rPr>
      </w:pPr>
    </w:p>
    <w:p>
      <w:pPr>
        <w:ind w:right="420" w:firstLine="510"/>
        <w:spacing w:after="0"/>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 Our proprietary Ka-band satellites are at the core of our technology platform. The primary services offered by our satellite services segment are comprised of:</w:t>
      </w:r>
    </w:p>
    <w:p>
      <w:pPr>
        <w:spacing w:after="0" w:line="54" w:lineRule="exact"/>
        <w:rPr>
          <w:sz w:val="20"/>
          <w:szCs w:val="20"/>
          <w:color w:val="auto"/>
        </w:rPr>
      </w:pPr>
    </w:p>
    <w:p>
      <w:pPr>
        <w:ind w:left="1000" w:right="220" w:hanging="493"/>
        <w:spacing w:after="0" w:line="234"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high-quality broadband internet access and VoIP services, primarily in the United States but also in various countries in Europe and Latin America. As of</w:t>
      </w:r>
    </w:p>
    <w:p>
      <w:pPr>
        <w:spacing w:after="0" w:line="1"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March 31, 2021, we provided fixed broadband services to approximately 590,000 U.S. subscribers.</w:t>
      </w:r>
    </w:p>
    <w:p>
      <w:pPr>
        <w:spacing w:after="0" w:line="63" w:lineRule="exact"/>
        <w:rPr>
          <w:rFonts w:ascii="Arial" w:cs="Arial" w:eastAsia="Arial" w:hAnsi="Arial"/>
          <w:sz w:val="18"/>
          <w:szCs w:val="18"/>
          <w:color w:val="auto"/>
        </w:rPr>
      </w:pPr>
    </w:p>
    <w:p>
      <w:pPr>
        <w:ind w:left="1000" w:right="60" w:hanging="493"/>
        <w:spacing w:after="0" w:line="236"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In-flight services, which provide industry-leading IFC, W-IFE and aviation software services. As of March 31, 2021, our IFC systems were installed and in service on approximately 1,480 commercial aircraft, of which, due to impacts of the COVID-19 pandemic, approximately 200 were inactive at fiscal year end. We anticipate that approximately 1,190 additional commercial aircraft under existing 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 See the section entitled “COVID-19” above for a discussion of the impact of the COVID-19 pandemic on our in-flight services business.</w:t>
      </w:r>
    </w:p>
    <w:p>
      <w:pPr>
        <w:spacing w:after="0" w:line="59" w:lineRule="exact"/>
        <w:rPr>
          <w:rFonts w:ascii="Arial" w:cs="Arial" w:eastAsia="Arial" w:hAnsi="Arial"/>
          <w:sz w:val="18"/>
          <w:szCs w:val="18"/>
          <w:color w:val="auto"/>
        </w:rPr>
      </w:pPr>
    </w:p>
    <w:p>
      <w:pPr>
        <w:ind w:left="1000" w:hanging="493"/>
        <w:spacing w:after="0" w:line="238"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Community Internet services, which offer innovative, affordable, satellite-based connectivity in communities with poor or no other means of internet access. The services help foster digital inclusion by enabling millions of people to connect to affordable high-quality internet services via a centralized community hotspot connected to the internet via satellite. Our Community Internet services are currently offered in Mexico, and we are trialing services in advance of full commercial launch in other countries, including Brazil, Guatemala and Nigeria.</w:t>
      </w:r>
    </w:p>
    <w:p>
      <w:pPr>
        <w:spacing w:after="0" w:line="53" w:lineRule="exact"/>
        <w:rPr>
          <w:rFonts w:ascii="Arial" w:cs="Arial" w:eastAsia="Arial" w:hAnsi="Arial"/>
          <w:sz w:val="18"/>
          <w:szCs w:val="18"/>
          <w:color w:val="auto"/>
        </w:rPr>
      </w:pPr>
    </w:p>
    <w:p>
      <w:pPr>
        <w:ind w:left="1000" w:right="220" w:hanging="493"/>
        <w:spacing w:after="0" w:line="238"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mobile broadband services, which include high-speed, satellite-based internet services to seagoing vessels (such as energy offshore vessels, cruise ships, consumer ferries and yachts), as well as L-band managed services enabling real-time machine-to-machine (M2M) position tracking, management of remote assets and operations, and visibility into critical areas of the supply chain.</w:t>
      </w:r>
    </w:p>
    <w:p>
      <w:pPr>
        <w:spacing w:after="0" w:line="38" w:lineRule="exact"/>
        <w:rPr>
          <w:rFonts w:ascii="Arial" w:cs="Arial" w:eastAsia="Arial" w:hAnsi="Arial"/>
          <w:sz w:val="18"/>
          <w:szCs w:val="18"/>
          <w:color w:val="auto"/>
        </w:rPr>
      </w:pPr>
    </w:p>
    <w:p>
      <w:pPr>
        <w:ind w:left="1000" w:right="100" w:hanging="493"/>
        <w:spacing w:after="0" w:line="245"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Advanced software and communication infrastructure services</w:t>
      </w:r>
      <w:r>
        <w:rPr>
          <w:rFonts w:ascii="Arial" w:cs="Arial" w:eastAsia="Arial" w:hAnsi="Arial"/>
          <w:sz w:val="18"/>
          <w:szCs w:val="18"/>
          <w:i w:val="1"/>
          <w:iCs w:val="1"/>
          <w:color w:val="auto"/>
        </w:rPr>
        <w:t>,</w:t>
      </w:r>
      <w:r>
        <w:rPr>
          <w:rFonts w:ascii="Arial" w:cs="Arial" w:eastAsia="Arial" w:hAnsi="Arial"/>
          <w:sz w:val="18"/>
          <w:szCs w:val="18"/>
          <w:color w:val="auto"/>
        </w:rPr>
        <w:t xml:space="preserve"> which include ultra-secure solutions spanning global IP connectivity, bandwidth-optimized over-the-top applications, industrial Internet-of-Things big data enablement and industry-leading machine learning analytics. These services support the full evolution of digital enablement, and primarily result from our acquisition of RigNet subsequent to fiscal year end.</w:t>
      </w:r>
    </w:p>
    <w:p>
      <w:pPr>
        <w:spacing w:after="0" w:line="145"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assets and results of operations of Euro Infrastructure Co. and RigNet, which were acquired subsequent to fiscal year end (see discussion above), will primarily be included in our satellite services segment (with insignificant amounts included in our commercial networks segment), commencing with the first quarter of fiscal year 2022.</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2" w:name="page43"/>
    <w:bookmarkEnd w:id="42"/>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99"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terminal solutions that support or enable the provision of high-speed fixed and mobile broadband services. The primary products, systems, solutions and services offered by our commercial networks segment are comprised of:</w:t>
      </w:r>
    </w:p>
    <w:p>
      <w:pPr>
        <w:spacing w:after="0" w:line="54"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seagoing vessels and land-mobile systems.</w:t>
      </w:r>
    </w:p>
    <w:p>
      <w:pPr>
        <w:spacing w:after="0" w:line="76" w:lineRule="exact"/>
        <w:rPr>
          <w:rFonts w:ascii="Arial" w:cs="Arial" w:eastAsia="Arial" w:hAnsi="Arial"/>
          <w:sz w:val="18"/>
          <w:szCs w:val="18"/>
          <w:color w:val="auto"/>
        </w:rPr>
      </w:pPr>
    </w:p>
    <w:p>
      <w:pPr>
        <w:ind w:left="1000" w:right="70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Fixed broadband satellite communication systems, including next-generation satellite network infrastructure and ground terminals.</w:t>
      </w:r>
    </w:p>
    <w:p>
      <w:pPr>
        <w:spacing w:after="0" w:line="48" w:lineRule="exact"/>
        <w:rPr>
          <w:rFonts w:ascii="Arial" w:cs="Arial" w:eastAsia="Arial" w:hAnsi="Arial"/>
          <w:sz w:val="18"/>
          <w:szCs w:val="18"/>
          <w:color w:val="auto"/>
        </w:rPr>
      </w:pPr>
    </w:p>
    <w:p>
      <w:pPr>
        <w:ind w:left="1000" w:right="26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Antenna systems, including state-of-the-art ground and airborne terminals, antennas and gateways for terrestrial and satellite customer applications, mobile satellite communication, Ka-band earth stations and other multi-band antennas.</w:t>
      </w:r>
    </w:p>
    <w:p>
      <w:pPr>
        <w:spacing w:after="0" w:line="48" w:lineRule="exact"/>
        <w:rPr>
          <w:rFonts w:ascii="Arial" w:cs="Arial" w:eastAsia="Arial" w:hAnsi="Arial"/>
          <w:sz w:val="18"/>
          <w:szCs w:val="18"/>
          <w:color w:val="auto"/>
        </w:rPr>
      </w:pPr>
    </w:p>
    <w:p>
      <w:pPr>
        <w:ind w:left="1000" w:right="76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w:t>
      </w:r>
    </w:p>
    <w:p>
      <w:pPr>
        <w:spacing w:after="0" w:line="48" w:lineRule="exact"/>
        <w:rPr>
          <w:rFonts w:ascii="Arial" w:cs="Arial" w:eastAsia="Arial" w:hAnsi="Arial"/>
          <w:sz w:val="18"/>
          <w:szCs w:val="18"/>
          <w:color w:val="auto"/>
        </w:rPr>
      </w:pPr>
    </w:p>
    <w:p>
      <w:pPr>
        <w:ind w:left="1000" w:right="60" w:hanging="493"/>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and associated payload technologies for our own satellite fleet as well as for third parties.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85" w:lineRule="exact"/>
        <w:rPr>
          <w:sz w:val="20"/>
          <w:szCs w:val="20"/>
          <w:color w:val="auto"/>
        </w:rPr>
      </w:pPr>
    </w:p>
    <w:p>
      <w:pPr>
        <w:jc w:val="both"/>
        <w:ind w:firstLine="510"/>
        <w:spacing w:after="0"/>
        <w:rPr>
          <w:sz w:val="20"/>
          <w:szCs w:val="20"/>
          <w:color w:val="auto"/>
        </w:rPr>
      </w:pPr>
      <w:r>
        <w:rPr>
          <w:rFonts w:ascii="Arial" w:cs="Arial" w:eastAsia="Arial" w:hAnsi="Arial"/>
          <w:sz w:val="18"/>
          <w:szCs w:val="18"/>
          <w:color w:val="auto"/>
        </w:rPr>
        <w:t>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The primary products and services of our government systems segment include:</w:t>
      </w:r>
    </w:p>
    <w:p>
      <w:pPr>
        <w:spacing w:after="0" w:line="68" w:lineRule="exact"/>
        <w:rPr>
          <w:sz w:val="20"/>
          <w:szCs w:val="20"/>
          <w:color w:val="auto"/>
        </w:rPr>
      </w:pPr>
    </w:p>
    <w:p>
      <w:pPr>
        <w:ind w:left="1000" w:right="1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ISR missions.</w:t>
      </w:r>
    </w:p>
    <w:p>
      <w:pPr>
        <w:spacing w:after="0" w:line="54" w:lineRule="exact"/>
        <w:rPr>
          <w:rFonts w:ascii="Arial" w:cs="Arial" w:eastAsia="Arial" w:hAnsi="Arial"/>
          <w:sz w:val="18"/>
          <w:szCs w:val="18"/>
          <w:color w:val="auto"/>
        </w:rPr>
      </w:pPr>
    </w:p>
    <w:p>
      <w:pPr>
        <w:ind w:left="1000" w:right="6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UAVs, seagoing vessels, ground-mobile vehicles and fixed applications.</w:t>
      </w:r>
    </w:p>
    <w:p>
      <w:pPr>
        <w:spacing w:after="0" w:line="54" w:lineRule="exact"/>
        <w:rPr>
          <w:rFonts w:ascii="Arial" w:cs="Arial" w:eastAsia="Arial" w:hAnsi="Arial"/>
          <w:sz w:val="18"/>
          <w:szCs w:val="18"/>
          <w:color w:val="auto"/>
        </w:rPr>
      </w:pPr>
    </w:p>
    <w:p>
      <w:pPr>
        <w:ind w:left="1000" w:right="28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HAIPE-compliant encryption solutions that enable military and government users to communicate information securely over networks, and that protect the integrity of data stored on computers and storage devices.</w:t>
      </w:r>
    </w:p>
    <w:p>
      <w:pPr>
        <w:spacing w:after="0" w:line="54" w:lineRule="exact"/>
        <w:rPr>
          <w:rFonts w:ascii="Arial" w:cs="Arial" w:eastAsia="Arial" w:hAnsi="Arial"/>
          <w:sz w:val="18"/>
          <w:szCs w:val="18"/>
          <w:color w:val="auto"/>
        </w:rPr>
      </w:pPr>
    </w:p>
    <w:p>
      <w:pPr>
        <w:ind w:left="1000" w:right="660" w:hanging="493"/>
        <w:spacing w:after="0" w:line="274"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Tactical data links, including our BATS-D handheld Link 16 radios, our STT 2-channel radios for manned and unmanned applications, “disposable” defense data links, and our MIDS and MIDS-JTRS terminals for military fighter jets.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satellite services segment revenues are primarily derived from our fixed broadband services and in-flight services.</w:t>
      </w:r>
    </w:p>
    <w:p>
      <w:pPr>
        <w:spacing w:after="0" w:line="158"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89%, 88% and 90% of our total revenues for these segments for fiscal years 2021, 2020 and 2019, respectively.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4"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43" w:name="page44"/>
    <w:bookmarkEnd w:id="43"/>
    <w:p>
      <w:pPr>
        <w:ind w:right="260" w:firstLine="510"/>
        <w:spacing w:after="0" w:line="238"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23%, 24% and 19% of our total revenues during fiscal years 2021, 2020 and 2019, respectively.</w:t>
      </w:r>
    </w:p>
    <w:p>
      <w:pPr>
        <w:spacing w:after="0" w:line="148"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R&amp;D projects. IR&amp;D expenses were approximately 5%, 6% and 6% of total revenues in fiscal years 2021, 2020 and 2019, respectively. As a government contractor, we are able to recover a portion of our IR&amp;D expenses pursuant to our government contracts.</w:t>
      </w:r>
    </w:p>
    <w:p>
      <w:pPr>
        <w:spacing w:after="0" w:line="151"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Approximately 9%, 11% and 11% of our total revenues in fiscal years 2021, 2020 and 2019, respectively, were derived from international sales. Doing business internationally creates additional risks related to global political and economic conditions and other factors identified under the heading “Risk Factors” in Part I, Item 1A and elsewhere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4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The Company and a Summary of Its Significant Accounting Policies – Leases to our consolidated financial statements, for broadband equipment leased to fixed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2"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4" w:name="page45"/>
    <w:bookmarkEnd w:id="44"/>
    <w:p>
      <w:pPr>
        <w:ind w:right="60" w:firstLine="510"/>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99" w:lineRule="exact"/>
        <w:rPr>
          <w:sz w:val="20"/>
          <w:szCs w:val="20"/>
          <w:color w:val="auto"/>
        </w:rPr>
      </w:pPr>
    </w:p>
    <w:p>
      <w:pPr>
        <w:ind w:right="40" w:firstLine="510"/>
        <w:spacing w:after="0" w:line="251" w:lineRule="auto"/>
        <w:rPr>
          <w:sz w:val="20"/>
          <w:szCs w:val="20"/>
          <w:color w:val="auto"/>
        </w:rPr>
      </w:pPr>
      <w:r>
        <w:rPr>
          <w:rFonts w:ascii="Arial" w:cs="Arial" w:eastAsia="Arial" w:hAnsi="Arial"/>
          <w:sz w:val="17"/>
          <w:szCs w:val="17"/>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March 31, 2021 would change our income before income taxes by an insignificant amount.</w:t>
      </w:r>
    </w:p>
    <w:p>
      <w:pPr>
        <w:spacing w:after="0" w:line="17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ind w:right="2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99"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85"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152" w:lineRule="exact"/>
        <w:rPr>
          <w:sz w:val="20"/>
          <w:szCs w:val="20"/>
          <w:color w:val="auto"/>
        </w:rPr>
      </w:pPr>
    </w:p>
    <w:p>
      <w:pPr>
        <w:ind w:right="20" w:firstLine="510"/>
        <w:spacing w:after="0" w:line="255" w:lineRule="auto"/>
        <w:rPr>
          <w:sz w:val="20"/>
          <w:szCs w:val="20"/>
          <w:color w:val="auto"/>
        </w:rPr>
      </w:pPr>
      <w:r>
        <w:rPr>
          <w:rFonts w:ascii="Arial" w:cs="Arial" w:eastAsia="Arial" w:hAnsi="Arial"/>
          <w:sz w:val="17"/>
          <w:szCs w:val="17"/>
          <w:color w:val="auto"/>
        </w:rPr>
        <w:t>We own three satellites in service over North America (ViaSat-2, ViaSat-1 and WildBlue-1) and, after acquiring the remaining interest in Euro Infrastructure Co. subsequent to fiscal year end, we also own the KA-SAT satellite over EMEA. In addition, we have lifetime leases of Ka-band capacity on two satellites. We also have a global constellation of three third-generation ViaSat-3 class satellites under construction. In addition, we own related earth stations and networking equipment for all of our satellites. Property, equipment and satellites, net also includes the customer premise equipment units leased to subscribers under a retail leasing program as part of our satellite services segment.</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right="320" w:firstLine="510"/>
        <w:spacing w:after="0" w:line="238" w:lineRule="auto"/>
        <w:rPr>
          <w:sz w:val="20"/>
          <w:szCs w:val="20"/>
          <w:color w:val="auto"/>
        </w:rPr>
      </w:pPr>
      <w:r>
        <w:rPr>
          <w:rFonts w:ascii="Arial" w:cs="Arial" w:eastAsia="Arial" w:hAnsi="Arial"/>
          <w:sz w:val="18"/>
          <w:szCs w:val="18"/>
          <w:color w:val="auto"/>
        </w:rPr>
        <w:t>For contracts entered into on or after April 1, 2019,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ind w:right="140"/>
        <w:spacing w:after="0" w:line="238" w:lineRule="auto"/>
        <w:rPr>
          <w:sz w:val="20"/>
          <w:szCs w:val="20"/>
          <w:color w:val="auto"/>
        </w:rPr>
      </w:pPr>
      <w:r>
        <w:rPr>
          <w:rFonts w:ascii="Arial" w:cs="Arial" w:eastAsia="Arial" w:hAnsi="Arial"/>
          <w:sz w:val="18"/>
          <w:szCs w:val="18"/>
          <w:color w:val="auto"/>
        </w:rPr>
        <w:t>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4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left="280" w:hanging="272"/>
        <w:spacing w:after="0" w:line="234" w:lineRule="auto"/>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00"/>
        <w:spacing w:after="0"/>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9"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51"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85"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fiscal years 2021, 2020 and 2019.</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06"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since the acquisition date, (3) changes in the overall economy, our market share and market interest rates since the acquisition date,</w:t>
      </w:r>
    </w:p>
    <w:p>
      <w:pPr>
        <w:ind w:right="500" w:firstLine="8"/>
        <w:spacing w:after="0" w:line="246"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3"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Based on our qualitative assessment performed during the fourth quarter of fiscal year 2021, we concluded that it was more likely than not that the estimated fair value of our reporting units exceeded their carrying value as of March 31, 2021, and therefore, determined it was not necessary to perform a quantitative goodwill impairment test.</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$42.6 million at March 31, 2020 to $47.1 million at March 31, 2021. The valuation allowance relates to state and foreign net operating loss carryforwards, state R&amp;D tax credit carryforwards and foreign tax credit carryforwards.</w:t>
      </w:r>
    </w:p>
    <w:p>
      <w:pPr>
        <w:spacing w:after="0" w:line="154"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Fiscal Years Ended</w:t>
            </w:r>
          </w:p>
        </w:tc>
        <w:tc>
          <w:tcPr>
            <w:tcW w:w="10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6"/>
        </w:trPr>
        <w:tc>
          <w:tcPr>
            <w:tcW w:w="4980" w:type="dxa"/>
            <w:vAlign w:val="bottom"/>
          </w:tcPr>
          <w:p>
            <w:pPr>
              <w:spacing w:after="0"/>
              <w:rPr>
                <w:sz w:val="13"/>
                <w:szCs w:val="13"/>
                <w:color w:val="auto"/>
              </w:rPr>
            </w:pPr>
          </w:p>
        </w:tc>
        <w:tc>
          <w:tcPr>
            <w:tcW w:w="1240" w:type="dxa"/>
            <w:vAlign w:val="bottom"/>
            <w:gridSpan w:val="2"/>
          </w:tcPr>
          <w:p>
            <w:pPr>
              <w:jc w:val="right"/>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3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March 31,</w:t>
            </w:r>
          </w:p>
        </w:tc>
        <w:tc>
          <w:tcPr>
            <w:tcW w:w="1240" w:type="dxa"/>
            <w:vAlign w:val="bottom"/>
            <w:gridSpan w:val="2"/>
          </w:tcPr>
          <w:p>
            <w:pPr>
              <w:jc w:val="right"/>
              <w:ind w:right="4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98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5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r>
      <w:tr>
        <w:trPr>
          <w:trHeight w:val="216"/>
        </w:trPr>
        <w:tc>
          <w:tcPr>
            <w:tcW w:w="498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5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r>
      <w:tr>
        <w:trPr>
          <w:trHeight w:val="20"/>
        </w:trPr>
        <w:tc>
          <w:tcPr>
            <w:tcW w:w="4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Compared to Fiscal Year 2020</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0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1,211.7</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0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15"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Our total revenues decreased by $ 53.1 million as a result of a $128.1 million decrease in product revenues, partially offset by a $75.0 million increase in service revenues. The product revenue decrease was driven primarily by decreases of $107.0 million in our government systems segment and $21.1 million in our commercial networks segment. The service revenue increase was due to increases of $42.4 million in our satellite services segment and $35.2 million in our government systems segment, partially offset by a $2.6 million decrease in our commercial networks segment.</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97"/>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845.8</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(70.9)</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763.9</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1,564.3</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1,609.7</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Cost of revenues decreased by $45.4 million due to a decrease of $70.9 million in cost of product revenues, partially offset by a $25.5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million increase in cost of service revenues. The cost of product revenue decrease was mainly due to decreased revenues, causing a</w:t>
      </w:r>
    </w:p>
    <w:p>
      <w:pPr>
        <w:spacing w:after="0" w:line="234" w:lineRule="auto"/>
        <w:rPr>
          <w:sz w:val="20"/>
          <w:szCs w:val="20"/>
          <w:color w:val="auto"/>
        </w:rPr>
      </w:pPr>
      <w:r>
        <w:rPr>
          <w:rFonts w:ascii="Arial" w:cs="Arial" w:eastAsia="Arial" w:hAnsi="Arial"/>
          <w:sz w:val="18"/>
          <w:szCs w:val="18"/>
          <w:color w:val="auto"/>
        </w:rPr>
        <w:t>$92.4 million decrease in cost of product revenues on a constant margin basis, mainly from revenue decreases in our government systems</w:t>
      </w:r>
    </w:p>
    <w:p>
      <w:pPr>
        <w:spacing w:after="0" w:line="235" w:lineRule="auto"/>
        <w:rPr>
          <w:sz w:val="20"/>
          <w:szCs w:val="20"/>
          <w:color w:val="auto"/>
        </w:rPr>
      </w:pPr>
      <w:r>
        <w:rPr>
          <w:rFonts w:ascii="Arial" w:cs="Arial" w:eastAsia="Arial" w:hAnsi="Arial"/>
          <w:sz w:val="18"/>
          <w:szCs w:val="18"/>
          <w:color w:val="auto"/>
        </w:rPr>
        <w:t>and commercial networks segments. The decrease in cost of product revenues was partially offset by lower margins, primarily driven by our</w:t>
      </w:r>
    </w:p>
    <w:p>
      <w:pPr>
        <w:spacing w:after="0" w:line="235" w:lineRule="auto"/>
        <w:rPr>
          <w:sz w:val="20"/>
          <w:szCs w:val="20"/>
          <w:color w:val="auto"/>
        </w:rPr>
      </w:pPr>
      <w:r>
        <w:rPr>
          <w:rFonts w:ascii="Arial" w:cs="Arial" w:eastAsia="Arial" w:hAnsi="Arial"/>
          <w:sz w:val="18"/>
          <w:szCs w:val="18"/>
          <w:color w:val="auto"/>
        </w:rPr>
        <w:t>mobile broadband satellite communication systems products in our commercial networks segment and our government mobile</w:t>
      </w:r>
    </w:p>
    <w:p>
      <w:pPr>
        <w:ind w:right="380"/>
        <w:spacing w:after="0" w:line="238" w:lineRule="auto"/>
        <w:rPr>
          <w:sz w:val="20"/>
          <w:szCs w:val="20"/>
          <w:color w:val="auto"/>
        </w:rPr>
      </w:pPr>
      <w:r>
        <w:rPr>
          <w:rFonts w:ascii="Arial" w:cs="Arial" w:eastAsia="Arial" w:hAnsi="Arial"/>
          <w:sz w:val="18"/>
          <w:szCs w:val="18"/>
          <w:color w:val="auto"/>
        </w:rPr>
        <w:t>broadband products and tactical data link products in our government systems segment. The cost of service revenue increase primarily related to increased revenues from our fixed broadband services business, partially offset by improved margins in our fixed broadband services business, reflecting the strength of the low variable costs structure of our fixed broadband services business as the business continues to scale.</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46" w:right="459" w:bottom="1440" w:gutter="0" w:footer="0" w:header="0"/>
        </w:sectPr>
      </w:pPr>
    </w:p>
    <w:bookmarkStart w:id="49" w:name="page50"/>
    <w:bookmarkEnd w:id="49"/>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920" w:type="dxa"/>
            <w:vAlign w:val="bottom"/>
          </w:tcPr>
          <w:p>
            <w:pPr>
              <w:jc w:val="center"/>
              <w:ind w:right="82"/>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523.1</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The $10.8 million decrease in SG&amp;A expenses was primarily due to a decrease in selling costs of $13.4 million and a decrease in bid and proposal costs of $6.6 million, partially offset by an increase in support costs of $9.2 million. The decrease in selling costs was mainly driven by our satellite services segment, but was reflected across all three segments. The decrease in bid and proposal costs was mainly from our government systems segment. The increase in support costs reflected increases across all three segments. SG&amp;A expenses consisted primarily of personnel costs and expenses for business development, marketing and sales, bid and proposal, facilities, finance, contract administration and general management.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00" w:type="dxa"/>
            <w:vAlign w:val="bottom"/>
          </w:tcPr>
          <w:p>
            <w:pPr>
              <w:jc w:val="center"/>
              <w:ind w:right="82"/>
              <w:spacing w:after="0" w:line="156"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ind w:right="220" w:firstLine="510"/>
        <w:spacing w:after="0"/>
        <w:rPr>
          <w:sz w:val="20"/>
          <w:szCs w:val="20"/>
          <w:color w:val="auto"/>
        </w:rPr>
      </w:pPr>
      <w:r>
        <w:rPr>
          <w:rFonts w:ascii="Arial" w:cs="Arial" w:eastAsia="Arial" w:hAnsi="Arial"/>
          <w:sz w:val="18"/>
          <w:szCs w:val="18"/>
          <w:color w:val="auto"/>
        </w:rPr>
        <w:t>The $14.6 million decrease in IR&amp;D expenses was mainly the result of a decrease of $16.7 million in IR&amp;D efforts in our commercial networks segment (primarily related to next-generation satellite payload technologies and mobile broadband satellite communication systems).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85"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$ 2.1 million decrease in amortization of acquired intangible assets in fiscal year 2021 compared to fiscal year 2020 was primarily the result of certain acquired intangibles in our satellite services segment becoming fully amortized during the prior fiscal year. Expected amortization expense for acquired intangible assets for each of the following periods is as follows:</w:t>
      </w:r>
    </w:p>
    <w:p>
      <w:pPr>
        <w:spacing w:after="0" w:line="260"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for fiscal year 2025</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8"/>
                <w:szCs w:val="18"/>
                <w:color w:val="auto"/>
              </w:rPr>
            </w:pPr>
          </w:p>
        </w:tc>
      </w:tr>
      <w:tr>
        <w:trPr>
          <w:trHeight w:val="210"/>
        </w:trPr>
        <w:tc>
          <w:tcPr>
            <w:tcW w:w="39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9,568</w:t>
            </w:r>
          </w:p>
        </w:tc>
        <w:tc>
          <w:tcPr>
            <w:tcW w:w="60" w:type="dxa"/>
            <w:vAlign w:val="bottom"/>
            <w:shd w:val="clear" w:color="auto" w:fill="CFF0FC"/>
          </w:tcPr>
          <w:p>
            <w:pPr>
              <w:spacing w:after="0"/>
              <w:rPr>
                <w:sz w:val="18"/>
                <w:szCs w:val="18"/>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9"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The $ 1.2 million decrease in interest income for fiscal year 2021 compared to fiscal year 2020 was primarily the result of lower interest rates during fiscal year 2021 compared to fiscal year 2020.</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right="80" w:firstLine="510"/>
        <w:spacing w:after="0"/>
        <w:rPr>
          <w:sz w:val="20"/>
          <w:szCs w:val="20"/>
          <w:color w:val="auto"/>
        </w:rPr>
      </w:pPr>
      <w:r>
        <w:rPr>
          <w:rFonts w:ascii="Arial" w:cs="Arial" w:eastAsia="Arial" w:hAnsi="Arial"/>
          <w:sz w:val="18"/>
          <w:szCs w:val="18"/>
          <w:color w:val="auto"/>
        </w:rPr>
        <w:t>The $6.0 million decrease in interest expense in fiscal year 2021 compared to fiscal year 2020 was primarily due to an increase in the amount of interest capitalized compared to the prior year period. This decrease in interest expense was partially offset by the addition of interest expense related to the 2028 Notes, which were issued in the first quarter of fiscal year 2021.</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income tax provision in fiscal year 2021 primarily reflected the tax expense from our income before income taxes, the tax expense for tax deficiencies upon settlement of stock-based compensation during the period, and non-deductible compensation, partially offset by benefit from federal and state R&amp;D tax credits. The income tax benefit in fiscal</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50" w:name="page51"/>
    <w:bookmarkEnd w:id="50"/>
    <w:p>
      <w:pPr>
        <w:spacing w:after="0" w:line="246" w:lineRule="auto"/>
        <w:rPr>
          <w:sz w:val="20"/>
          <w:szCs w:val="20"/>
          <w:color w:val="auto"/>
        </w:rPr>
      </w:pPr>
      <w:r>
        <w:rPr>
          <w:rFonts w:ascii="Arial" w:cs="Arial" w:eastAsia="Arial" w:hAnsi="Arial"/>
          <w:sz w:val="18"/>
          <w:szCs w:val="18"/>
          <w:color w:val="auto"/>
        </w:rPr>
        <w:t>year 2020 primarily reflected the tax benefit from federal and state R&amp;D tax credits, partially offset by the tax expense from our income before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2021 Compared to Fiscal Year 2020</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00" w:type="dxa"/>
            <w:vAlign w:val="bottom"/>
          </w:tcPr>
          <w:p>
            <w:pPr>
              <w:jc w:val="right"/>
              <w:ind w:right="117"/>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826.6</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5%</w:t>
            </w: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Our satellite services segment revenues increased by $42.4 million due to an increase in service revenues. The increase in service revenues was primarily driven by higher ARPU in the United States in our fixed broadband business when compared to the prior year period, partially offset by a decrease in service revenues from our in-flight services. The increase in ARPU reflected a higher mix of new and existing subscribers choosing Viasat’s premium highest speed plans. The in-flight service revenue decrease was driven primarily by an 8% decrease in the number of commercial aircraft using in-flight services through our IFC systems as of year end as a result of the COVID-19 pandemic. In addition, our fiscal year 2021 in-flight service revenues were impacted by the reductions in passenger air traffic and the number of inactive installed aircraft, as well as lower capacity on active installed aircraft as a result of the COVID-19 pandemic.</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right"/>
              <w:ind w:right="42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1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2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411%</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$28.8 million increase in our satellite services segment operating profit was driven primarily by higher earnings contributions of</w:t>
      </w:r>
    </w:p>
    <w:p>
      <w:pPr>
        <w:spacing w:after="0" w:line="234" w:lineRule="auto"/>
        <w:rPr>
          <w:sz w:val="20"/>
          <w:szCs w:val="20"/>
          <w:color w:val="auto"/>
        </w:rPr>
      </w:pPr>
      <w:r>
        <w:rPr>
          <w:rFonts w:ascii="Arial" w:cs="Arial" w:eastAsia="Arial" w:hAnsi="Arial"/>
          <w:sz w:val="18"/>
          <w:szCs w:val="18"/>
          <w:color w:val="auto"/>
        </w:rPr>
        <w:t>$24.4 million, mainly due to increased revenues, with significant flow through resulting in improved margins, reflecting the strength of the low</w:t>
      </w:r>
    </w:p>
    <w:p>
      <w:pPr>
        <w:spacing w:after="0" w:line="235" w:lineRule="auto"/>
        <w:rPr>
          <w:sz w:val="20"/>
          <w:szCs w:val="20"/>
          <w:color w:val="auto"/>
        </w:rPr>
      </w:pPr>
      <w:r>
        <w:rPr>
          <w:rFonts w:ascii="Arial" w:cs="Arial" w:eastAsia="Arial" w:hAnsi="Arial"/>
          <w:sz w:val="18"/>
          <w:szCs w:val="18"/>
          <w:color w:val="auto"/>
        </w:rPr>
        <w:t>variable costs structure of our fixed broadband services business as the business continues to scale. The increase in operating profit was</w:t>
      </w:r>
    </w:p>
    <w:p>
      <w:pPr>
        <w:spacing w:after="0" w:line="235" w:lineRule="auto"/>
        <w:rPr>
          <w:sz w:val="20"/>
          <w:szCs w:val="20"/>
          <w:color w:val="auto"/>
        </w:rPr>
      </w:pPr>
      <w:r>
        <w:rPr>
          <w:rFonts w:ascii="Arial" w:cs="Arial" w:eastAsia="Arial" w:hAnsi="Arial"/>
          <w:sz w:val="18"/>
          <w:szCs w:val="18"/>
          <w:color w:val="auto"/>
        </w:rPr>
        <w:t>also driven by lower selling costs. This increase was partially offset by lower margins resulting from the negative impact of the COVID-19</w:t>
      </w:r>
    </w:p>
    <w:p>
      <w:pPr>
        <w:spacing w:after="0"/>
        <w:rPr>
          <w:sz w:val="20"/>
          <w:szCs w:val="20"/>
          <w:color w:val="auto"/>
        </w:rPr>
      </w:pPr>
      <w:r>
        <w:rPr>
          <w:rFonts w:ascii="Arial" w:cs="Arial" w:eastAsia="Arial" w:hAnsi="Arial"/>
          <w:sz w:val="18"/>
          <w:szCs w:val="18"/>
          <w:color w:val="auto"/>
        </w:rPr>
        <w:t>pandemic on our in-flight services business and an increase in costs related to our investments in emerging global broadband businesses.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49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commercial networks segment revenues decreased by $23.7 million, primarily due to a $21.1 million decrease in product revenues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 a $2.6 million decrease in service revenues. The decrease in product revenues was primarily due to a decrease of $44.9 million in</w:t>
      </w:r>
    </w:p>
    <w:p>
      <w:pPr>
        <w:spacing w:after="0" w:line="234" w:lineRule="auto"/>
        <w:rPr>
          <w:sz w:val="20"/>
          <w:szCs w:val="20"/>
          <w:color w:val="auto"/>
        </w:rPr>
      </w:pPr>
      <w:r>
        <w:rPr>
          <w:rFonts w:ascii="Arial" w:cs="Arial" w:eastAsia="Arial" w:hAnsi="Arial"/>
          <w:sz w:val="18"/>
          <w:szCs w:val="18"/>
          <w:color w:val="auto"/>
        </w:rPr>
        <w:t>mobile broadband satellite communication systems products due to decreased IFC terminal deliveries resulting from the severe decline in</w:t>
      </w:r>
    </w:p>
    <w:p>
      <w:pPr>
        <w:spacing w:after="0" w:line="235" w:lineRule="auto"/>
        <w:rPr>
          <w:sz w:val="20"/>
          <w:szCs w:val="20"/>
          <w:color w:val="auto"/>
        </w:rPr>
      </w:pPr>
      <w:r>
        <w:rPr>
          <w:rFonts w:ascii="Arial" w:cs="Arial" w:eastAsia="Arial" w:hAnsi="Arial"/>
          <w:sz w:val="18"/>
          <w:szCs w:val="18"/>
          <w:color w:val="auto"/>
        </w:rPr>
        <w:t>global air traffic and resulting downturn in the commercial aviation market as a result of the COVID-19 pandemic, as well as a decrease of</w:t>
      </w:r>
    </w:p>
    <w:p>
      <w:pPr>
        <w:spacing w:after="0" w:line="235" w:lineRule="auto"/>
        <w:rPr>
          <w:sz w:val="20"/>
          <w:szCs w:val="20"/>
          <w:color w:val="auto"/>
        </w:rPr>
      </w:pPr>
      <w:r>
        <w:rPr>
          <w:rFonts w:ascii="Arial" w:cs="Arial" w:eastAsia="Arial" w:hAnsi="Arial"/>
          <w:sz w:val="18"/>
          <w:szCs w:val="18"/>
          <w:color w:val="auto"/>
        </w:rPr>
        <w:t>$5.4 million in satellite networking development programs products. The product revenue decrease was partially offset by increases of $22.7</w:t>
      </w:r>
    </w:p>
    <w:p>
      <w:pPr>
        <w:spacing w:after="0" w:line="235" w:lineRule="auto"/>
        <w:rPr>
          <w:sz w:val="20"/>
          <w:szCs w:val="20"/>
          <w:color w:val="auto"/>
        </w:rPr>
      </w:pPr>
      <w:r>
        <w:rPr>
          <w:rFonts w:ascii="Arial" w:cs="Arial" w:eastAsia="Arial" w:hAnsi="Arial"/>
          <w:sz w:val="18"/>
          <w:szCs w:val="18"/>
          <w:color w:val="auto"/>
        </w:rPr>
        <w:t>million in antenna systems products and $4.0 million in fixed satellite networks products. The decrease in service revenues was primarily due</w:t>
      </w:r>
    </w:p>
    <w:p>
      <w:pPr>
        <w:spacing w:after="0" w:line="235" w:lineRule="auto"/>
        <w:rPr>
          <w:sz w:val="20"/>
          <w:szCs w:val="20"/>
          <w:color w:val="auto"/>
        </w:rPr>
      </w:pPr>
      <w:r>
        <w:rPr>
          <w:rFonts w:ascii="Arial" w:cs="Arial" w:eastAsia="Arial" w:hAnsi="Arial"/>
          <w:sz w:val="18"/>
          <w:szCs w:val="18"/>
          <w:color w:val="auto"/>
        </w:rPr>
        <w:t>to a $5.3 million decrease in mobile broadband satellite communication systems services, partially offset by a $2.9 million increase in fixed</w:t>
      </w:r>
    </w:p>
    <w:p>
      <w:pPr>
        <w:spacing w:after="0"/>
        <w:rPr>
          <w:sz w:val="20"/>
          <w:szCs w:val="20"/>
          <w:color w:val="auto"/>
        </w:rPr>
      </w:pPr>
      <w:r>
        <w:rPr>
          <w:rFonts w:ascii="Arial" w:cs="Arial" w:eastAsia="Arial" w:hAnsi="Arial"/>
          <w:sz w:val="18"/>
          <w:szCs w:val="18"/>
          <w:color w:val="auto"/>
        </w:rPr>
        <w:t>satellite network services.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i w:val="1"/>
          <w:iCs w:val="1"/>
          <w:color w:val="auto"/>
        </w:rPr>
        <w:t>Segment operating loss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Fiscal Years Ended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50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09"/>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(180.7)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Our commercial networks segment operating loss decreased by $6.1 million year-over-year. The decrease in operating loss was driven primarily by a $16.7 million decrease in IR&amp;D expenses (primarily related to next-generation satellite payload technologies and mobile broadband satellite communication systems) and careful management of SG&amp;A expenses, partially offset by lower earnings contributions of $12.4 million, driven by decreased revenues and lower margins from our mobile broadband satellite communication systems products.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9"/>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(107.0)</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Segment service revenues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FF0FC"/>
            </w:tcBorders>
          </w:tcPr>
          <w:p>
            <w:pPr>
              <w:spacing w:after="0"/>
              <w:rPr>
                <w:sz w:val="18"/>
                <w:szCs w:val="18"/>
                <w:color w:val="auto"/>
              </w:rPr>
            </w:pPr>
          </w:p>
        </w:tc>
        <w:tc>
          <w:tcPr>
            <w:tcW w:w="12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09"/>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(71.8)</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Our government systems segment revenues decreased by $71.8 million due to a decrease of $107.0 million in product revenues, partially offset by an increase of $35.2 million in service revenues. The product revenue decrease was primarily driven by a $62.0 million decrease in government mobile broadband products, a $37.4 million decrease in government satellite communication systems products and a $21.2 million decrease in tactical satcom radio products. The decrease in product revenues was partially offset by an increase of $10.1 million in cybersecurity and information assurance products and a $3.8 million increase in tactical data link products. Our government systems segment continued to show some impacts from the COVID-19 pandemic, which has somewhat complicated product manufacturing and shipments, but new government systems segment awards remained very strong through the end of the fiscal year. The service revenue increase was primarily due to a $20.4 million increase in government mobile broadband services, a $5.2 million increase in tactical data link services, a $4.8 million increase in government satellite communication systems services, a $2.5 million increase in cybersecurity and information assurance services and a $2.2 million increase in tactical satcom radio services. In the second half of fiscal year 2021, we experienced higher usage demand for our services across all major government customer verticals.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w:t>
      </w:r>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4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180" w:type="dxa"/>
            <w:vAlign w:val="bottom"/>
            <w:gridSpan w:val="2"/>
          </w:tcPr>
          <w:p>
            <w:pPr>
              <w:jc w:val="right"/>
              <w:ind w:right="480"/>
              <w:spacing w:after="0" w:line="156"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(17.3)</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88" w:lineRule="exact"/>
        <w:rPr>
          <w:sz w:val="20"/>
          <w:szCs w:val="20"/>
          <w:color w:val="auto"/>
        </w:rPr>
      </w:pPr>
    </w:p>
    <w:p>
      <w:pPr>
        <w:ind w:right="120" w:firstLine="510"/>
        <w:spacing w:after="0"/>
        <w:rPr>
          <w:sz w:val="20"/>
          <w:szCs w:val="20"/>
          <w:color w:val="auto"/>
        </w:rPr>
      </w:pPr>
      <w:r>
        <w:rPr>
          <w:rFonts w:ascii="Arial" w:cs="Arial" w:eastAsia="Arial" w:hAnsi="Arial"/>
          <w:sz w:val="18"/>
          <w:szCs w:val="18"/>
          <w:color w:val="auto"/>
        </w:rPr>
        <w:t>The $17.3 million decrease in our government systems segment operating profit was primarily due to lower earnings contributions of $19.8 million, primarily due to a decrease in revenues and lower margins from our government mobile broadband products and higher IR&amp;D investments, partially offset by SG&amp;A expense management resulting in lower costs of $3.6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2020 Compared to Fiscal Year 2019</w:t>
      </w:r>
    </w:p>
    <w:p>
      <w:pPr>
        <w:spacing w:after="0" w:line="99" w:lineRule="exact"/>
        <w:rPr>
          <w:sz w:val="20"/>
          <w:szCs w:val="20"/>
          <w:color w:val="auto"/>
        </w:rPr>
      </w:pPr>
    </w:p>
    <w:p>
      <w:pPr>
        <w:ind w:right="120" w:firstLine="510"/>
        <w:spacing w:after="0"/>
        <w:rPr>
          <w:sz w:val="20"/>
          <w:szCs w:val="20"/>
          <w:color w:val="auto"/>
        </w:rPr>
      </w:pPr>
      <w:r>
        <w:rPr>
          <w:rFonts w:ascii="Arial" w:cs="Arial" w:eastAsia="Arial" w:hAnsi="Arial"/>
          <w:sz w:val="18"/>
          <w:szCs w:val="18"/>
          <w:color w:val="auto"/>
        </w:rPr>
        <w:t>For a discussion of our results of operations for fiscal year 2020 as compared to fiscal year 2019, see “Management’s Discussion and Analysis of Financial Condition and Results of Operations” in Part II, Item 7 of our Annual Report on Form 10-K for the fiscal year ended March 31,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reflected in the table below, our overall firm and funded backlog increased during fiscal year 2021.</w:t>
      </w:r>
    </w:p>
    <w:p>
      <w:pPr>
        <w:spacing w:after="0" w:line="186"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5"/>
          </w:tcPr>
          <w:p>
            <w:pPr>
              <w:ind w:left="9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633.7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939.4</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The firm backlog does not include contract options. Of the $2.3 billion in firm backlog, a little over half is expected to be delivered during the next twelve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March 31, 2021, our IFC systems were installed and in service on approximately 1,480</w:t>
      </w:r>
    </w:p>
    <w:p>
      <w:pPr>
        <w:spacing w:after="0" w:line="1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commercial aircraft, of which, due to impacts of the COVID-19 pandemic, approximately 200 were inactive at fiscal year end. While current global airline traffic is still a fraction of the activity in fiscal year 2020, domestic airline traffic is showing signs of improvement. As a result, our in-flight services business showed modest improvement in the quarter ended March 31, 2021, with increased planes in service and passenger volumes. We expect the negative impact on our IFC business from the pandemic to continue into fiscal year 2022 and potentially beyond due to the severe decline in global air traffic and associated grounding of installed aircraft, but to lessen over time with increases in passenger air traffic. We anticipate that approximately 1,190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impact of the COVID-19 pandemic on the global airline industry. Accordingly, there can be no assurance that all anticipated purchase orders and requests will be placed or that anticipated IFC services will be activated.</w:t>
      </w:r>
    </w:p>
    <w:p>
      <w:pPr>
        <w:spacing w:after="0" w:line="148" w:lineRule="exact"/>
        <w:rPr>
          <w:sz w:val="20"/>
          <w:szCs w:val="20"/>
          <w:color w:val="auto"/>
        </w:rPr>
      </w:pPr>
    </w:p>
    <w:p>
      <w:pPr>
        <w:ind w:right="460" w:firstLine="510"/>
        <w:spacing w:after="0" w:line="246" w:lineRule="auto"/>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 $2.7 billion, $2.3 billion and $2.4 billion for fiscal years 2021, 2020 and 2019, respectively.</w:t>
      </w:r>
    </w:p>
    <w:p>
      <w:pPr>
        <w:spacing w:after="0" w:line="143"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51"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March 31, 2021, we had $295.9 million in cash and cash equivalents, $282.8 million in working capital, and no outstanding borrowings and borrowing availability of $673.7 million under our Revolving Credit Facility. On July 23, 2020, we issued and sold an aggregate of 4,474,559 shares of our common stock at a purchase price of $39.11 per share to certain accredited investors in a private placement transaction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53" w:name="page54"/>
    <w:bookmarkEnd w:id="53"/>
    <w:p>
      <w:pPr>
        <w:ind w:right="180"/>
        <w:spacing w:after="0" w:line="238" w:lineRule="auto"/>
        <w:rPr>
          <w:sz w:val="20"/>
          <w:szCs w:val="20"/>
          <w:color w:val="auto"/>
        </w:rPr>
      </w:pPr>
      <w:r>
        <w:rPr>
          <w:rFonts w:ascii="Arial" w:cs="Arial" w:eastAsia="Arial" w:hAnsi="Arial"/>
          <w:sz w:val="18"/>
          <w:szCs w:val="18"/>
          <w:color w:val="auto"/>
        </w:rPr>
        <w:t>exempt from registration under the Securities Act of 1933, as amended, resulting in net proceeds of approximately $174.7 million after deducting offering expenses. At March 31, 2020, we had $304.3 million in cash and cash equivalents, $ 441.1 million in working capital, and $390.0 million in principal amount of outstanding borrowings and borrowing availability of $292.7 million under our Revolving Credit Facility. We invest our cash in excess of current operating requirements in short-term, highly liquid bank money market accounts.</w:t>
      </w:r>
    </w:p>
    <w:p>
      <w:pPr>
        <w:spacing w:after="0" w:line="151" w:lineRule="exact"/>
        <w:rPr>
          <w:sz w:val="20"/>
          <w:szCs w:val="20"/>
          <w:color w:val="auto"/>
        </w:rPr>
      </w:pPr>
    </w:p>
    <w:p>
      <w:pPr>
        <w:ind w:right="320" w:firstLine="510"/>
        <w:spacing w:after="0" w:line="238"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51"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0"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141" w:lineRule="exact"/>
        <w:rPr>
          <w:sz w:val="20"/>
          <w:szCs w:val="20"/>
          <w:color w:val="auto"/>
        </w:rPr>
      </w:pPr>
    </w:p>
    <w:p>
      <w:pPr>
        <w:ind w:right="80" w:firstLine="510"/>
        <w:spacing w:after="0" w:line="253" w:lineRule="auto"/>
        <w:rPr>
          <w:sz w:val="20"/>
          <w:szCs w:val="20"/>
          <w:color w:val="auto"/>
        </w:rPr>
      </w:pPr>
      <w:r>
        <w:rPr>
          <w:rFonts w:ascii="Arial" w:cs="Arial" w:eastAsia="Arial" w:hAnsi="Arial"/>
          <w:sz w:val="17"/>
          <w:szCs w:val="17"/>
          <w:color w:val="auto"/>
        </w:rPr>
        <w:t>To date, COVID-19 has not had a significant impact on our liquidity, cash flows or capital resources. However, we have taken measures to mitigate the impact of COVID-19 on our business and financial position, including deferring certain capital expenditures, reducing discretionary expenditures and undertaking cost-reduction actions. Given our current cash position, outlook for funds generated from operations, borrowing availability under our Revolving Credit Facility of $673.7 million, cash needs and debt structure, we have not experienced to date, and do not expect to experience, any material issues with liquidity. Although we can give no assurances concerning our future liquidity,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operating activities for fiscal year 2021 was $727.2 million compared to $436.9 million for fiscal year 2020. This</w:t>
      </w:r>
    </w:p>
    <w:p>
      <w:pPr>
        <w:spacing w:after="0" w:line="234" w:lineRule="auto"/>
        <w:rPr>
          <w:sz w:val="20"/>
          <w:szCs w:val="20"/>
          <w:color w:val="auto"/>
        </w:rPr>
      </w:pPr>
      <w:r>
        <w:rPr>
          <w:rFonts w:ascii="Arial" w:cs="Arial" w:eastAsia="Arial" w:hAnsi="Arial"/>
          <w:sz w:val="18"/>
          <w:szCs w:val="18"/>
          <w:color w:val="auto"/>
        </w:rPr>
        <w:t>$290.3 million increase was primarily driven by a $229.0 million year-over-year decrease in cash used to fund net operating assets and our</w:t>
      </w:r>
    </w:p>
    <w:p>
      <w:pPr>
        <w:spacing w:after="0" w:line="235" w:lineRule="auto"/>
        <w:rPr>
          <w:sz w:val="20"/>
          <w:szCs w:val="20"/>
          <w:color w:val="auto"/>
        </w:rPr>
      </w:pPr>
      <w:r>
        <w:rPr>
          <w:rFonts w:ascii="Arial" w:cs="Arial" w:eastAsia="Arial" w:hAnsi="Arial"/>
          <w:sz w:val="18"/>
          <w:szCs w:val="18"/>
          <w:color w:val="auto"/>
        </w:rPr>
        <w:t>operating results (net income adjusted for depreciation, amortization and other non-cash changes) which resulted in $61.3 million of higher</w:t>
      </w:r>
    </w:p>
    <w:p>
      <w:pPr>
        <w:spacing w:after="0" w:line="235" w:lineRule="auto"/>
        <w:rPr>
          <w:sz w:val="20"/>
          <w:szCs w:val="20"/>
          <w:color w:val="auto"/>
        </w:rPr>
      </w:pPr>
      <w:r>
        <w:rPr>
          <w:rFonts w:ascii="Arial" w:cs="Arial" w:eastAsia="Arial" w:hAnsi="Arial"/>
          <w:sz w:val="18"/>
          <w:szCs w:val="18"/>
          <w:color w:val="auto"/>
        </w:rPr>
        <w:t>cash provided by operating activities year-over-year. The decrease in cash used to fund net operating assets during fiscal year 2021 when</w:t>
      </w:r>
    </w:p>
    <w:p>
      <w:pPr>
        <w:spacing w:after="0" w:line="235" w:lineRule="auto"/>
        <w:rPr>
          <w:sz w:val="20"/>
          <w:szCs w:val="20"/>
          <w:color w:val="auto"/>
        </w:rPr>
      </w:pPr>
      <w:r>
        <w:rPr>
          <w:rFonts w:ascii="Arial" w:cs="Arial" w:eastAsia="Arial" w:hAnsi="Arial"/>
          <w:sz w:val="18"/>
          <w:szCs w:val="18"/>
          <w:color w:val="auto"/>
        </w:rPr>
        <w:t>compared to fiscal year 2020 was primarily due to an increase in cash inflows year-over-year from combined billed and unbilled accounts</w:t>
      </w:r>
    </w:p>
    <w:p>
      <w:pPr>
        <w:spacing w:after="0" w:line="235" w:lineRule="auto"/>
        <w:rPr>
          <w:sz w:val="20"/>
          <w:szCs w:val="20"/>
          <w:color w:val="auto"/>
        </w:rPr>
      </w:pPr>
      <w:r>
        <w:rPr>
          <w:rFonts w:ascii="Arial" w:cs="Arial" w:eastAsia="Arial" w:hAnsi="Arial"/>
          <w:sz w:val="18"/>
          <w:szCs w:val="18"/>
          <w:color w:val="auto"/>
        </w:rPr>
        <w:t>receivable, net, attributable to the timing of contractual milestones for certain larger development programs in our government systems</w:t>
      </w:r>
    </w:p>
    <w:p>
      <w:pPr>
        <w:spacing w:after="0" w:line="234" w:lineRule="auto"/>
        <w:rPr>
          <w:sz w:val="20"/>
          <w:szCs w:val="20"/>
          <w:color w:val="auto"/>
        </w:rPr>
      </w:pPr>
      <w:r>
        <w:rPr>
          <w:rFonts w:ascii="Arial" w:cs="Arial" w:eastAsia="Arial" w:hAnsi="Arial"/>
          <w:sz w:val="18"/>
          <w:szCs w:val="18"/>
          <w:color w:val="auto"/>
        </w:rPr>
        <w:t>segment as well as revenue decreases in our mobile broadband satellite communication systems products and services business in our</w:t>
      </w:r>
    </w:p>
    <w:p>
      <w:pPr>
        <w:spacing w:after="0" w:line="235" w:lineRule="auto"/>
        <w:rPr>
          <w:sz w:val="20"/>
          <w:szCs w:val="20"/>
          <w:color w:val="auto"/>
        </w:rPr>
      </w:pPr>
      <w:r>
        <w:rPr>
          <w:rFonts w:ascii="Arial" w:cs="Arial" w:eastAsia="Arial" w:hAnsi="Arial"/>
          <w:sz w:val="18"/>
          <w:szCs w:val="18"/>
          <w:color w:val="auto"/>
        </w:rPr>
        <w:t>commercial networks and satellite services segments due to decreased IFC terminal deliveries resulting from the severe decline in global air</w:t>
      </w:r>
    </w:p>
    <w:p>
      <w:pPr>
        <w:spacing w:after="0" w:line="235" w:lineRule="auto"/>
        <w:rPr>
          <w:sz w:val="20"/>
          <w:szCs w:val="20"/>
          <w:color w:val="auto"/>
        </w:rPr>
      </w:pPr>
      <w:r>
        <w:rPr>
          <w:rFonts w:ascii="Arial" w:cs="Arial" w:eastAsia="Arial" w:hAnsi="Arial"/>
          <w:sz w:val="18"/>
          <w:szCs w:val="18"/>
          <w:color w:val="auto"/>
        </w:rPr>
        <w:t>traffic and resulting downturn in the commercial aviation market as a result of the COVID-19 pandemic and an increase in our collections in</w:t>
      </w:r>
    </w:p>
    <w:p>
      <w:pPr>
        <w:spacing w:after="0" w:line="235" w:lineRule="auto"/>
        <w:rPr>
          <w:sz w:val="20"/>
          <w:szCs w:val="20"/>
          <w:color w:val="auto"/>
        </w:rPr>
      </w:pPr>
      <w:r>
        <w:rPr>
          <w:rFonts w:ascii="Arial" w:cs="Arial" w:eastAsia="Arial" w:hAnsi="Arial"/>
          <w:sz w:val="18"/>
          <w:szCs w:val="18"/>
          <w:color w:val="auto"/>
        </w:rPr>
        <w:t>excess of revenues and deferred revenues included in accrued liabilities due to the timing of milestone billings for certain larger development</w:t>
      </w:r>
    </w:p>
    <w:p>
      <w:pPr>
        <w:spacing w:after="0"/>
        <w:rPr>
          <w:sz w:val="20"/>
          <w:szCs w:val="20"/>
          <w:color w:val="auto"/>
        </w:rPr>
      </w:pPr>
      <w:r>
        <w:rPr>
          <w:rFonts w:ascii="Arial" w:cs="Arial" w:eastAsia="Arial" w:hAnsi="Arial"/>
          <w:sz w:val="18"/>
          <w:szCs w:val="18"/>
          <w:color w:val="auto"/>
        </w:rPr>
        <w:t>projects in our commercial networks and government systems segments.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54" w:name="page55"/>
    <w:bookmarkEnd w:id="54"/>
    <w:p>
      <w:pPr>
        <w:ind w:right="240" w:firstLine="510"/>
        <w:spacing w:after="0"/>
        <w:rPr>
          <w:sz w:val="20"/>
          <w:szCs w:val="20"/>
          <w:color w:val="auto"/>
        </w:rPr>
      </w:pPr>
      <w:r>
        <w:rPr>
          <w:rFonts w:ascii="Arial" w:cs="Arial" w:eastAsia="Arial" w:hAnsi="Arial"/>
          <w:sz w:val="18"/>
          <w:szCs w:val="18"/>
          <w:color w:val="auto"/>
        </w:rPr>
        <w:t>Cash used in investing activities for fiscal year 2021 was $885.3 million compared to $758.8 million for fiscal year 2020. This $126.5 million increase in cash used in investing activities year-over year reflects an increase of approximately $118.8 million in cash used for satellite construction.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financing activities for fiscal year 2021 was $149.7 million compared to $365.2 million for fiscal year 2020.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$215.5 million decrease in cash provided by financing activities year-over-year reflects proceeds from borrowings under our Revolving Credit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Facility of $420.0 million in fiscal year 2020 and an increase in payments on borrowings under our Revolving Credit Facility of $360.0 million</w:t>
      </w:r>
    </w:p>
    <w:p>
      <w:pPr>
        <w:spacing w:after="0" w:line="234" w:lineRule="auto"/>
        <w:rPr>
          <w:sz w:val="20"/>
          <w:szCs w:val="20"/>
          <w:color w:val="auto"/>
        </w:rPr>
      </w:pPr>
      <w:r>
        <w:rPr>
          <w:rFonts w:ascii="Arial" w:cs="Arial" w:eastAsia="Arial" w:hAnsi="Arial"/>
          <w:sz w:val="18"/>
          <w:szCs w:val="18"/>
          <w:color w:val="auto"/>
        </w:rPr>
        <w:t>year-over-year. This decrease was partially offset by $400.0 million of gross proceeds from our 2028 Notes in June 2020 and $174.7 million</w:t>
      </w:r>
    </w:p>
    <w:p>
      <w:pPr>
        <w:spacing w:after="0" w:line="235" w:lineRule="auto"/>
        <w:rPr>
          <w:sz w:val="20"/>
          <w:szCs w:val="20"/>
          <w:color w:val="auto"/>
        </w:rPr>
      </w:pPr>
      <w:r>
        <w:rPr>
          <w:rFonts w:ascii="Arial" w:cs="Arial" w:eastAsia="Arial" w:hAnsi="Arial"/>
          <w:sz w:val="18"/>
          <w:szCs w:val="18"/>
          <w:color w:val="auto"/>
        </w:rPr>
        <w:t>of net proceeds from a private placement of common stock in July 2020 (after deducting offering expenses). Cash provided by financing</w:t>
      </w:r>
    </w:p>
    <w:p>
      <w:pPr>
        <w:spacing w:after="0" w:line="235" w:lineRule="auto"/>
        <w:rPr>
          <w:sz w:val="20"/>
          <w:szCs w:val="20"/>
          <w:color w:val="auto"/>
        </w:rPr>
      </w:pPr>
      <w:r>
        <w:rPr>
          <w:rFonts w:ascii="Arial" w:cs="Arial" w:eastAsia="Arial" w:hAnsi="Arial"/>
          <w:sz w:val="18"/>
          <w:szCs w:val="18"/>
          <w:color w:val="auto"/>
        </w:rPr>
        <w:t>activities for both periods included cash received from employee stock purchase plan purchases and the repurchase of common stock</w:t>
      </w:r>
    </w:p>
    <w:p>
      <w:pPr>
        <w:spacing w:after="0"/>
        <w:rPr>
          <w:sz w:val="20"/>
          <w:szCs w:val="20"/>
          <w:color w:val="auto"/>
        </w:rPr>
      </w:pPr>
      <w:r>
        <w:rPr>
          <w:rFonts w:ascii="Arial" w:cs="Arial" w:eastAsia="Arial" w:hAnsi="Arial"/>
          <w:sz w:val="18"/>
          <w:szCs w:val="18"/>
          <w:color w:val="auto"/>
        </w:rPr>
        <w:t>related to net share settlement of certain employee tax liabilities in connection with the vesting of restricted stock unit awards.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connection with the development of any new generation satellite design, and the launch of any new satellite and the commencement of the related service, we expect to incur additional operating costs that negatively impact our financial results. For example, when ViaSat-2 was placed in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w:t>
      </w:r>
    </w:p>
    <w:p>
      <w:pPr>
        <w:spacing w:after="0" w:line="149" w:lineRule="exact"/>
        <w:rPr>
          <w:sz w:val="20"/>
          <w:szCs w:val="20"/>
          <w:color w:val="auto"/>
        </w:rPr>
      </w:pPr>
    </w:p>
    <w:p>
      <w:pPr>
        <w:ind w:right="60" w:firstLine="510"/>
        <w:spacing w:after="0" w:line="236" w:lineRule="auto"/>
        <w:rPr>
          <w:sz w:val="20"/>
          <w:szCs w:val="20"/>
          <w:color w:val="auto"/>
        </w:rPr>
      </w:pPr>
      <w:r>
        <w:rPr>
          <w:rFonts w:ascii="Arial" w:cs="Arial" w:eastAsia="Arial" w:hAnsi="Arial"/>
          <w:sz w:val="18"/>
          <w:szCs w:val="18"/>
          <w:color w:val="auto"/>
        </w:rPr>
        <w:t>We currently have three ViaSat-3 class satellites under construction. We have entered into satellite construction agreements with Boeing for their construction and purchase and the integration of our payload and technologies into the satellites. In addition, we have entered into various other satellite-related purchase commitments, including with respect to the provision of launch services, satellite operation and satellite insurance. See Note 12 – Commitments to our consolidated financial statements for information as of March 31, 2021 regarding our future minimum payments under our satellite construction contracts and other satellite-related purchase commitments for the next five fiscal years and thereafter. In addition, we will continue to incur costs related to the roll-out of related earth station infrastructure to support the ViaSat-3 constellation, the amount of which will depend, among other matters, on the timing of roll-out and method used to procure fiber access. We believe we have adequate sources of funding for the ViaSat-3 constellation, which include, but are not limited to,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51"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Our IR&amp;D investments are expected to continue through fiscal year 2022 and beyond relating to next generation satellite network solutions and support of our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 operating performance. Our total capital expenditures in fiscal year 2022 are expected to be higher than fiscal year 2021, as we have a third ViaSat-3 class satellite under construction, as well as increased ground network investments related to international expansion.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As of March 31, 2021, the aggregate principal amount of our total outstanding indebtedness was $1.9 billion, which was comprised of $700.0 million in principal amount of 2025 Notes, $600.0 million in principal amount of 2027 Notes, $400.0 million in principal amount of 2028 Notes, no outstanding borrowings under our $700.0 million Revolving Credit Facility, $98.3 million in principal amount of outstanding borrowings under our Ex-Im Credit Facility with a maturity date of October 15, 2025 and $56.3 million of finance lease obligations. For information regarding our Credit Facilities and Notes, refer to Note 6 – Senior Notes and Other Long-Term Debt to our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March 31,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0" w:type="dxa"/>
            <w:vAlign w:val="bottom"/>
            <w:vMerge w:val="restart"/>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Fiscal Years Ending</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2023-2024</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2025-2026</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444,674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67,940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125,686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111,684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64,575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595,000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2027 Notes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819,375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33,750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877,188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759,063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104,693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Satellite performance incentives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Purchase commitments including satellite-</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related agreements</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1,650,828</w:t>
            </w:r>
          </w:p>
        </w:tc>
        <w:tc>
          <w:tcPr>
            <w:tcW w:w="2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1,087,573</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436,635</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46,121</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80,499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4,588,853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1,295,413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837,192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1,112,112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1,344,136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4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Our consolidated balance sheets included $137.4 million and $120.9 million of “other liabilities” as of March 31, 2021 and March 31, 2020, respectively, which primarily consisted of the long-term portion of deferred revenues, the long-term portion of our satellite performance incentive obligations relating to the ViaSat-1 and ViaSat-2 satellites and our long-term warranty obligations. With the exception of the long-term portion of our satellite performance incentive obligations relating to the ViaSat-1 and ViaSat-2 satellites (which is included under “Satellite performance incentives”), these remaining liabilities have been excluded from the above table as the timing and/or the amount of any cash payment is uncertain. See Note 12 – Commitments to our consolidated financial statements for additional information regarding satellite performance incentive obligations relating to the ViaSat-1 and ViaSat-2 satellites. See Note 14 – Product Warranty to our consolidated financial statements for a discussion of our product warranties.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5" w:lineRule="exact"/>
        <w:rPr>
          <w:sz w:val="20"/>
          <w:szCs w:val="20"/>
          <w:color w:val="auto"/>
        </w:rPr>
      </w:pPr>
    </w:p>
    <w:p>
      <w:pPr>
        <w:ind w:right="320" w:firstLine="510"/>
        <w:spacing w:after="0" w:line="246" w:lineRule="auto"/>
        <w:rPr>
          <w:sz w:val="20"/>
          <w:szCs w:val="20"/>
          <w:color w:val="auto"/>
        </w:rPr>
      </w:pPr>
      <w:r>
        <w:rPr>
          <w:rFonts w:ascii="Arial" w:cs="Arial" w:eastAsia="Arial" w:hAnsi="Arial"/>
          <w:sz w:val="18"/>
          <w:szCs w:val="18"/>
          <w:color w:val="auto"/>
        </w:rPr>
        <w:t>We had no material off-balance sheet arrangements at March 31, 2021 as defined in Regulation S-K Item 303(a)(4) other than as discussed under “Contractual Obligations” above or disclosed in the notes to our consolidated financial statements included in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40" w:firstLine="510"/>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The Company and a Summary of Its Significant Accounting Policies to the consolidated financial statements</w:t>
      </w:r>
      <w:r>
        <w:rPr>
          <w:rFonts w:ascii="Arial" w:cs="Arial" w:eastAsia="Arial" w:hAnsi="Arial"/>
          <w:sz w:val="18"/>
          <w:szCs w:val="18"/>
          <w:i w:val="1"/>
          <w:iCs w:val="1"/>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6" w:name="page57"/>
    <w:bookmarkEnd w:id="56"/>
    <w:p>
      <w:pPr>
        <w:ind w:right="4120"/>
        <w:spacing w:after="0" w:line="333"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1" w:lineRule="exact"/>
        <w:rPr>
          <w:sz w:val="20"/>
          <w:szCs w:val="20"/>
          <w:color w:val="auto"/>
        </w:rPr>
      </w:pPr>
    </w:p>
    <w:p>
      <w:pPr>
        <w:ind w:right="360" w:firstLine="510"/>
        <w:spacing w:after="0" w:line="234"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and the Notes, and foreign currency forward contracts. We consider investments in highly liquid instruments purchased with a remaining maturity of three months or less at the date of purchase to be cash equivalents. As of</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March 31, 2021, we had no outstanding borrowings under our Revolving Credit Facility, $98.3 million in principal amount of outstanding borrowings under our Ex-Im Credit Facility, $700.0 million in aggregate principal amount outstanding of the 2025 Notes, $600.0 million in aggregate principal amount outstanding of the 2027 Notes and $400.0 million in aggregate principal amount outstanding of the 2028 Notes, and we held no short-term investments. The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1" w:lineRule="exact"/>
        <w:rPr>
          <w:sz w:val="20"/>
          <w:szCs w:val="20"/>
          <w:color w:val="auto"/>
        </w:rPr>
      </w:pPr>
    </w:p>
    <w:p>
      <w:pPr>
        <w:ind w:right="220" w:firstLine="510"/>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fiscal years ended March 31, 2021 and March 31, 2020.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1"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Our primary interest rate under the Revolving Credit Facility is the Eurodollar rate plus an applicable margin that is based on our total leverage ratio. Under the Revolving Credit Facility, the effective interest rate as of March 31, 2021 that would have been applied to any new Eurodollar-based borrowings under the Revolving Credit Facility was approximately 1.78%. As of March 31, 2021, we had no outstanding borrowings under our Revolving Credit Facility. Accordingly, assuming the outstanding balance remained constant over a year, changes in interest rates applicable to our Revolving Credit Facility would have no effect on our interest incurred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99"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$1.1 million and an insignificant amount for the fiscal years ended March 31, 2021 and March 31, 2020, respectively.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and March 31, 2020, we had no foreign currency forward contracts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85" w:lineRule="exact"/>
        <w:rPr>
          <w:sz w:val="20"/>
          <w:szCs w:val="20"/>
          <w:color w:val="auto"/>
        </w:rPr>
      </w:pPr>
    </w:p>
    <w:p>
      <w:pPr>
        <w:jc w:val="both"/>
        <w:ind w:right="20" w:firstLine="510"/>
        <w:spacing w:after="0"/>
        <w:rPr>
          <w:sz w:val="20"/>
          <w:szCs w:val="20"/>
          <w:color w:val="auto"/>
        </w:rPr>
      </w:pPr>
      <w:r>
        <w:rPr>
          <w:rFonts w:ascii="Arial" w:cs="Arial" w:eastAsia="Arial" w:hAnsi="Arial"/>
          <w:sz w:val="18"/>
          <w:szCs w:val="18"/>
          <w:color w:val="auto"/>
        </w:rPr>
        <w:t>Our consolidated financial statements at March 31, 2021 and March 31, 2020 and for each of the three fiscal years in the period ended March 31, 2021, and the Report of PricewaterhouseCoopers LLP, Independent Registered Public Accounting Firm, are included in this report on pages F-1 through F-43.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85" w:lineRule="exact"/>
        <w:rPr>
          <w:sz w:val="20"/>
          <w:szCs w:val="20"/>
          <w:color w:val="auto"/>
        </w:rPr>
      </w:pPr>
    </w:p>
    <w:p>
      <w:pPr>
        <w:jc w:val="both"/>
        <w:ind w:firstLine="510"/>
        <w:spacing w:after="0" w:line="246" w:lineRule="auto"/>
        <w:rPr>
          <w:sz w:val="20"/>
          <w:szCs w:val="20"/>
          <w:color w:val="auto"/>
        </w:rPr>
      </w:pPr>
      <w:r>
        <w:rPr>
          <w:rFonts w:ascii="Arial" w:cs="Arial" w:eastAsia="Arial" w:hAnsi="Arial"/>
          <w:sz w:val="18"/>
          <w:szCs w:val="18"/>
          <w:color w:val="auto"/>
        </w:rPr>
        <w:t>This item is no longer required as we have elected to early apply the changes to Item 302 of Regulation S-K contained in SEC Release No. 33-10890 and there has not been a material retrospective change to the information previously reported.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9"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2021, the end of the period covered by this report. Based upon the foregoing, our Chief Executive Officer and Chief Financial Officer concluded that our disclosure controls and procedures were effective at a reasonable assurance level as of March 31,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85" w:lineRule="exact"/>
        <w:rPr>
          <w:sz w:val="20"/>
          <w:szCs w:val="20"/>
          <w:color w:val="auto"/>
        </w:rPr>
      </w:pPr>
    </w:p>
    <w:p>
      <w:pPr>
        <w:ind w:right="100" w:firstLine="510"/>
        <w:spacing w:after="0" w:line="234"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w:t>
      </w:r>
    </w:p>
    <w:p>
      <w:pPr>
        <w:spacing w:after="0" w:line="3"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Based on this evaluation,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its internal control over financial reporting was effective as of March 31, 2021.</w:t>
      </w:r>
    </w:p>
    <w:p>
      <w:pPr>
        <w:spacing w:after="0" w:line="143" w:lineRule="exact"/>
        <w:rPr>
          <w:sz w:val="20"/>
          <w:szCs w:val="20"/>
          <w:color w:val="auto"/>
        </w:rPr>
      </w:pPr>
    </w:p>
    <w:p>
      <w:pPr>
        <w:ind w:right="180" w:firstLine="51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right="400" w:firstLine="510"/>
        <w:spacing w:after="0" w:line="246"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2021, as stated in their report which appears on page F-1.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5" w:lineRule="exact"/>
        <w:rPr>
          <w:sz w:val="20"/>
          <w:szCs w:val="20"/>
          <w:color w:val="auto"/>
        </w:rPr>
      </w:pPr>
    </w:p>
    <w:p>
      <w:pPr>
        <w:ind w:right="20" w:firstLine="510"/>
        <w:spacing w:after="0" w:line="234"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March 31, 2021,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58" w:name="page59"/>
    <w:bookmarkEnd w:id="58"/>
    <w:p>
      <w:pPr>
        <w:ind w:left="5280"/>
        <w:spacing w:after="0"/>
        <w:rPr>
          <w:sz w:val="20"/>
          <w:szCs w:val="20"/>
          <w:color w:val="auto"/>
        </w:rPr>
      </w:pPr>
      <w:r>
        <w:rPr>
          <w:rFonts w:ascii="Arial" w:cs="Arial" w:eastAsia="Arial" w:hAnsi="Arial"/>
          <w:sz w:val="18"/>
          <w:szCs w:val="18"/>
          <w:b w:val="1"/>
          <w:bCs w:val="1"/>
          <w:color w:val="auto"/>
        </w:rPr>
        <w:t>PART III</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85" w:lineRule="exact"/>
        <w:rPr>
          <w:sz w:val="20"/>
          <w:szCs w:val="20"/>
          <w:color w:val="auto"/>
        </w:rPr>
      </w:pPr>
    </w:p>
    <w:p>
      <w:pPr>
        <w:jc w:val="both"/>
        <w:ind w:right="80" w:firstLine="510"/>
        <w:spacing w:after="0"/>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2021 Annual Meeting of Stockholders (the Proxy Statement) under the headings “Corporate Governance Principles and Board Matters,” “Election of Directors” and “Ownership of Securities,” and is incorporated herein by reference.</w:t>
      </w:r>
    </w:p>
    <w:p>
      <w:pPr>
        <w:spacing w:after="0" w:line="149" w:lineRule="exact"/>
        <w:rPr>
          <w:sz w:val="20"/>
          <w:szCs w:val="20"/>
          <w:color w:val="auto"/>
        </w:rPr>
      </w:pPr>
    </w:p>
    <w:p>
      <w:pPr>
        <w:ind w:right="40" w:firstLine="510"/>
        <w:spacing w:after="0" w:line="246"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43"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85" w:lineRule="exact"/>
        <w:rPr>
          <w:sz w:val="20"/>
          <w:szCs w:val="20"/>
          <w:color w:val="auto"/>
        </w:rPr>
      </w:pPr>
    </w:p>
    <w:p>
      <w:pPr>
        <w:ind w:right="820" w:firstLine="510"/>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18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41" w:lineRule="exact"/>
        <w:rPr>
          <w:sz w:val="20"/>
          <w:szCs w:val="20"/>
          <w:color w:val="auto"/>
        </w:rPr>
      </w:pPr>
    </w:p>
    <w:p>
      <w:pPr>
        <w:ind w:right="120" w:firstLine="510"/>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85" w:lineRule="exact"/>
        <w:rPr>
          <w:sz w:val="20"/>
          <w:szCs w:val="20"/>
          <w:color w:val="auto"/>
        </w:rPr>
      </w:pPr>
    </w:p>
    <w:p>
      <w:pPr>
        <w:ind w:right="300" w:firstLine="510"/>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85" w:lineRule="exact"/>
        <w:rPr>
          <w:sz w:val="20"/>
          <w:szCs w:val="20"/>
          <w:color w:val="auto"/>
        </w:rPr>
      </w:pPr>
    </w:p>
    <w:p>
      <w:pPr>
        <w:ind w:firstLine="510"/>
        <w:spacing w:after="0" w:line="246"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IV</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85"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86"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5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9060" w:type="dxa"/>
            <w:vAlign w:val="bottom"/>
            <w:gridSpan w:val="11"/>
            <w:vMerge w:val="restart"/>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9060" w:type="dxa"/>
            <w:vAlign w:val="bottom"/>
            <w:gridSpan w:val="11"/>
            <w:vMerge w:val="continue"/>
          </w:tcPr>
          <w:p>
            <w:pPr>
              <w:spacing w:after="0"/>
              <w:rPr>
                <w:sz w:val="13"/>
                <w:szCs w:val="13"/>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76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Consolidated Balance Sheets as of March 31, 2021 and March 31, 2020</w:t>
              </w:r>
            </w:hyperlink>
          </w:p>
        </w:tc>
        <w:tc>
          <w:tcPr>
            <w:tcW w:w="1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906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Operations and Comprehensive Income (Loss) for the fiscal years ended March 31,</w:t>
              </w:r>
            </w:hyperlink>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9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2021, March 31, 2020 and March 31, 2019</w:t>
              </w:r>
            </w:hyperlink>
          </w:p>
        </w:tc>
        <w:tc>
          <w:tcPr>
            <w:tcW w:w="16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 w:type="dxa"/>
            <w:vAlign w:val="bottom"/>
          </w:tcPr>
          <w:p>
            <w:pPr>
              <w:spacing w:after="0"/>
              <w:rPr>
                <w:sz w:val="15"/>
                <w:szCs w:val="15"/>
                <w:color w:val="auto"/>
              </w:rPr>
            </w:pPr>
          </w:p>
        </w:tc>
        <w:tc>
          <w:tcPr>
            <w:tcW w:w="9060" w:type="dxa"/>
            <w:vAlign w:val="bottom"/>
            <w:gridSpan w:val="11"/>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 for the fiscal years ended March 31, 2021, March 31, 2020 and</w:t>
              </w:r>
            </w:hyperlink>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March 31, 2019</w:t>
              </w:r>
            </w:hyperlink>
          </w:p>
        </w:tc>
        <w:tc>
          <w:tcPr>
            <w:tcW w:w="7000" w:type="dxa"/>
            <w:vAlign w:val="bottom"/>
            <w:tcBorders>
              <w:top w:val="single" w:sz="8" w:color="0000EE"/>
            </w:tcBorders>
            <w:gridSpan w:val="6"/>
          </w:tcPr>
          <w:p>
            <w:pPr>
              <w:spacing w:after="0"/>
              <w:rPr>
                <w:sz w:val="15"/>
                <w:szCs w:val="15"/>
                <w:color w:val="auto"/>
              </w:rPr>
            </w:pPr>
          </w:p>
        </w:tc>
        <w:tc>
          <w:tcPr>
            <w:tcW w:w="800" w:type="dxa"/>
            <w:vAlign w:val="bottom"/>
            <w:gridSpan w:val="3"/>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9060" w:type="dxa"/>
            <w:vAlign w:val="bottom"/>
            <w:gridSpan w:val="11"/>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Equity for the fiscal years ended March 31, 2021, March 31, 2020 and March 31,</w:t>
              </w:r>
            </w:hyperlink>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71">
              <w:r>
                <w:rPr>
                  <w:rFonts w:ascii="Arial" w:cs="Arial" w:eastAsia="Arial" w:hAnsi="Arial"/>
                  <w:sz w:val="18"/>
                  <w:szCs w:val="18"/>
                  <w:color w:val="0000EE"/>
                  <w:w w:val="94"/>
                </w:rPr>
                <w:t>2019</w:t>
              </w:r>
            </w:hyperlink>
          </w:p>
        </w:tc>
        <w:tc>
          <w:tcPr>
            <w:tcW w:w="860" w:type="dxa"/>
            <w:vAlign w:val="bottom"/>
            <w:tcBorders>
              <w:top w:val="single" w:sz="8" w:color="0000EE"/>
            </w:tcBorders>
          </w:tcPr>
          <w:p>
            <w:pPr>
              <w:spacing w:after="0"/>
              <w:rPr>
                <w:sz w:val="15"/>
                <w:szCs w:val="15"/>
                <w:color w:val="auto"/>
              </w:rPr>
            </w:pPr>
          </w:p>
        </w:tc>
        <w:tc>
          <w:tcPr>
            <w:tcW w:w="21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198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9060" w:type="dxa"/>
            <w:vAlign w:val="bottom"/>
            <w:gridSpan w:val="11"/>
          </w:tcPr>
          <w:p>
            <w:pPr>
              <w:spacing w:after="0" w:line="169" w:lineRule="exact"/>
              <w:rPr>
                <w:rFonts w:ascii="Arial" w:cs="Arial" w:eastAsia="Arial" w:hAnsi="Arial"/>
                <w:sz w:val="18"/>
                <w:szCs w:val="18"/>
                <w:color w:val="0000EE"/>
              </w:rPr>
            </w:pPr>
            <w:hyperlink w:anchor="page72">
              <w:r>
                <w:rPr>
                  <w:rFonts w:ascii="Arial" w:cs="Arial" w:eastAsia="Arial" w:hAnsi="Arial"/>
                  <w:sz w:val="18"/>
                  <w:szCs w:val="18"/>
                  <w:color w:val="0000EE"/>
                </w:rPr>
                <w:t>Notes to the Consolidated Financial Statements</w:t>
              </w:r>
            </w:hyperlink>
          </w:p>
        </w:tc>
        <w:tc>
          <w:tcPr>
            <w:tcW w:w="620" w:type="dxa"/>
            <w:vAlign w:val="bottom"/>
          </w:tcPr>
          <w:p>
            <w:pPr>
              <w:jc w:val="right"/>
              <w:spacing w:after="0" w:line="169"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90"/>
              </w:rPr>
              <w:t>(2)</w:t>
            </w:r>
          </w:p>
        </w:tc>
        <w:tc>
          <w:tcPr>
            <w:tcW w:w="774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08">
              <w:r>
                <w:rPr>
                  <w:rFonts w:ascii="Arial" w:cs="Arial" w:eastAsia="Arial" w:hAnsi="Arial"/>
                  <w:sz w:val="18"/>
                  <w:szCs w:val="18"/>
                  <w:color w:val="0000EE"/>
                  <w:w w:val="99"/>
                </w:rPr>
                <w:t>Schedule II — Valuation and Qualifying Accounts for the three fiscal years ended March 31, 2021</w:t>
              </w:r>
            </w:hyperlink>
          </w:p>
        </w:tc>
        <w:tc>
          <w:tcPr>
            <w:tcW w:w="132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20" w:firstLine="510"/>
        <w:spacing w:after="0" w:line="246"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48"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Incorporated by Reference</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39"/>
        </w:trPr>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1"/>
        </w:trPr>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60" w:type="dxa"/>
            <w:vAlign w:val="bottom"/>
            <w:gridSpan w:val="17"/>
            <w:vMerge w:val="restart"/>
          </w:tcPr>
          <w:p>
            <w:pPr>
              <w:ind w:left="600"/>
              <w:spacing w:after="0"/>
              <w:rPr>
                <w:sz w:val="20"/>
                <w:szCs w:val="20"/>
                <w:color w:val="auto"/>
              </w:rPr>
            </w:pPr>
            <w:r>
              <w:rPr>
                <w:rFonts w:ascii="Arial" w:cs="Arial" w:eastAsia="Arial" w:hAnsi="Arial"/>
                <w:sz w:val="12"/>
                <w:szCs w:val="12"/>
                <w:b w:val="1"/>
                <w:bCs w:val="1"/>
                <w:color w:val="auto"/>
              </w:rPr>
              <w:t>Exhibit Description</w:t>
            </w:r>
          </w:p>
        </w:tc>
        <w:tc>
          <w:tcPr>
            <w:tcW w:w="100" w:type="dxa"/>
            <w:vAlign w:val="bottom"/>
            <w:vMerge w:val="restart"/>
          </w:tcPr>
          <w:p>
            <w:pPr>
              <w:spacing w:after="0"/>
              <w:rPr>
                <w:sz w:val="9"/>
                <w:szCs w:val="9"/>
                <w:color w:val="auto"/>
              </w:rPr>
            </w:pPr>
          </w:p>
        </w:tc>
        <w:tc>
          <w:tcPr>
            <w:tcW w:w="1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2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40" w:type="dxa"/>
            <w:vAlign w:val="bottom"/>
          </w:tcPr>
          <w:p>
            <w:pPr>
              <w:spacing w:after="0"/>
              <w:rPr>
                <w:sz w:val="9"/>
                <w:szCs w:val="9"/>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Filing Date</w:t>
            </w:r>
          </w:p>
        </w:tc>
        <w:tc>
          <w:tcPr>
            <w:tcW w:w="140" w:type="dxa"/>
            <w:vAlign w:val="bottom"/>
          </w:tcPr>
          <w:p>
            <w:pPr>
              <w:spacing w:after="0"/>
              <w:rPr>
                <w:sz w:val="9"/>
                <w:szCs w:val="9"/>
                <w:color w:val="auto"/>
              </w:rPr>
            </w:pPr>
          </w:p>
        </w:tc>
        <w:tc>
          <w:tcPr>
            <w:tcW w:w="60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57"/>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17"/>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2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334"/>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24"/>
                <w:szCs w:val="24"/>
                <w:color w:val="auto"/>
              </w:rPr>
            </w:pPr>
          </w:p>
        </w:tc>
        <w:tc>
          <w:tcPr>
            <w:tcW w:w="4640" w:type="dxa"/>
            <w:vAlign w:val="bottom"/>
            <w:tcBorders>
              <w:bottom w:val="single" w:sz="8" w:color="0000EE"/>
            </w:tcBorders>
            <w:gridSpan w:val="21"/>
          </w:tcPr>
          <w:p>
            <w:pPr>
              <w:spacing w:after="0"/>
              <w:rPr>
                <w:rFonts w:ascii="Arial" w:cs="Arial" w:eastAsia="Arial" w:hAnsi="Arial"/>
                <w:sz w:val="16"/>
                <w:szCs w:val="16"/>
                <w:color w:val="0000EE"/>
              </w:rPr>
            </w:pPr>
            <w:hyperlink r:id="rId77">
              <w:r>
                <w:rPr>
                  <w:rFonts w:ascii="Arial" w:cs="Arial" w:eastAsia="Arial" w:hAnsi="Arial"/>
                  <w:sz w:val="16"/>
                  <w:szCs w:val="16"/>
                  <w:color w:val="0000EE"/>
                </w:rPr>
                <w:t>Agreement and Plan of Merger, dated as of December 20, 2020,</w:t>
              </w:r>
            </w:hyperlink>
          </w:p>
        </w:tc>
        <w:tc>
          <w:tcPr>
            <w:tcW w:w="120" w:type="dxa"/>
            <w:vAlign w:val="bottom"/>
            <w:gridSpan w:val="2"/>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2.1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12/21/2020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2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77">
              <w:r>
                <w:rPr>
                  <w:rFonts w:ascii="Arial" w:cs="Arial" w:eastAsia="Arial" w:hAnsi="Arial"/>
                  <w:sz w:val="16"/>
                  <w:szCs w:val="16"/>
                  <w:color w:val="0000EE"/>
                </w:rPr>
                <w:t>by and among Viasat, Inc., Royal Acquisition Sub, Inc. and</w:t>
              </w:r>
            </w:hyperlink>
          </w:p>
        </w:tc>
        <w:tc>
          <w:tcPr>
            <w:tcW w:w="540" w:type="dxa"/>
            <w:vAlign w:val="bottom"/>
            <w:gridSpan w:val="9"/>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77">
              <w:r>
                <w:rPr>
                  <w:rFonts w:ascii="Arial" w:cs="Arial" w:eastAsia="Arial" w:hAnsi="Arial"/>
                  <w:sz w:val="16"/>
                  <w:szCs w:val="16"/>
                  <w:color w:val="0000EE"/>
                </w:rPr>
                <w:t>RigNet, Inc.</w:t>
              </w:r>
            </w:hyperlink>
          </w:p>
        </w:tc>
        <w:tc>
          <w:tcPr>
            <w:tcW w:w="3900" w:type="dxa"/>
            <w:vAlign w:val="bottom"/>
            <w:gridSpan w:val="19"/>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24"/>
                <w:szCs w:val="24"/>
                <w:color w:val="auto"/>
              </w:rPr>
            </w:pPr>
          </w:p>
        </w:tc>
        <w:tc>
          <w:tcPr>
            <w:tcW w:w="4760" w:type="dxa"/>
            <w:vAlign w:val="bottom"/>
            <w:gridSpan w:val="23"/>
          </w:tcPr>
          <w:p>
            <w:pPr>
              <w:spacing w:after="0"/>
              <w:rPr>
                <w:rFonts w:ascii="Arial" w:cs="Arial" w:eastAsia="Arial" w:hAnsi="Arial"/>
                <w:sz w:val="16"/>
                <w:szCs w:val="16"/>
                <w:color w:val="0000EE"/>
              </w:rPr>
            </w:pPr>
            <w:hyperlink r:id="rId78">
              <w:r>
                <w:rPr>
                  <w:rFonts w:ascii="Arial" w:cs="Arial" w:eastAsia="Arial" w:hAnsi="Arial"/>
                  <w:sz w:val="16"/>
                  <w:szCs w:val="16"/>
                  <w:color w:val="0000EE"/>
                </w:rPr>
                <w:t>Second Amended and Restated Certificate of Incorporation of</w:t>
              </w:r>
            </w:hyperlink>
          </w:p>
        </w:tc>
        <w:tc>
          <w:tcPr>
            <w:tcW w:w="162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3.1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11/14/2000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78">
              <w:r>
                <w:rPr>
                  <w:rFonts w:ascii="Arial" w:cs="Arial" w:eastAsia="Arial" w:hAnsi="Arial"/>
                  <w:sz w:val="16"/>
                  <w:szCs w:val="16"/>
                  <w:color w:val="0000EE"/>
                </w:rPr>
                <w:t>ViaSat, Inc.</w:t>
              </w:r>
            </w:hyperlink>
          </w:p>
        </w:tc>
        <w:tc>
          <w:tcPr>
            <w:tcW w:w="3580" w:type="dxa"/>
            <w:vAlign w:val="bottom"/>
            <w:tcBorders>
              <w:top w:val="single" w:sz="8" w:color="0000EE"/>
            </w:tcBorders>
            <w:gridSpan w:val="13"/>
          </w:tcPr>
          <w:p>
            <w:pPr>
              <w:spacing w:after="0"/>
              <w:rPr>
                <w:sz w:val="14"/>
                <w:szCs w:val="14"/>
                <w:color w:val="auto"/>
              </w:rPr>
            </w:pPr>
          </w:p>
        </w:tc>
        <w:tc>
          <w:tcPr>
            <w:tcW w:w="340" w:type="dxa"/>
            <w:vAlign w:val="bottom"/>
            <w:gridSpan w:val="7"/>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24"/>
                <w:szCs w:val="24"/>
                <w:color w:val="auto"/>
              </w:rPr>
            </w:pPr>
          </w:p>
        </w:tc>
        <w:tc>
          <w:tcPr>
            <w:tcW w:w="3920" w:type="dxa"/>
            <w:vAlign w:val="bottom"/>
            <w:tcBorders>
              <w:bottom w:val="single" w:sz="8" w:color="0000EE"/>
            </w:tcBorders>
            <w:gridSpan w:val="10"/>
          </w:tcPr>
          <w:p>
            <w:pPr>
              <w:spacing w:after="0"/>
              <w:rPr>
                <w:rFonts w:ascii="Arial" w:cs="Arial" w:eastAsia="Arial" w:hAnsi="Arial"/>
                <w:sz w:val="16"/>
                <w:szCs w:val="16"/>
                <w:color w:val="0000EE"/>
              </w:rPr>
            </w:pPr>
            <w:hyperlink r:id="rId79">
              <w:r>
                <w:rPr>
                  <w:rFonts w:ascii="Arial" w:cs="Arial" w:eastAsia="Arial" w:hAnsi="Arial"/>
                  <w:sz w:val="16"/>
                  <w:szCs w:val="16"/>
                  <w:color w:val="0000EE"/>
                </w:rPr>
                <w:t>Second Amended and Restated Bylaws of ViaSat, Inc.</w:t>
              </w:r>
            </w:hyperlink>
          </w:p>
        </w:tc>
        <w:tc>
          <w:tcPr>
            <w:tcW w:w="840" w:type="dxa"/>
            <w:vAlign w:val="bottom"/>
            <w:gridSpan w:val="13"/>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3.1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12/04/2012</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4.1</w:t>
            </w:r>
          </w:p>
        </w:tc>
        <w:tc>
          <w:tcPr>
            <w:tcW w:w="100" w:type="dxa"/>
            <w:vAlign w:val="bottom"/>
          </w:tcPr>
          <w:p>
            <w:pPr>
              <w:spacing w:after="0"/>
              <w:rPr>
                <w:sz w:val="24"/>
                <w:szCs w:val="24"/>
                <w:color w:val="auto"/>
              </w:rPr>
            </w:pPr>
          </w:p>
        </w:tc>
        <w:tc>
          <w:tcPr>
            <w:tcW w:w="4760" w:type="dxa"/>
            <w:vAlign w:val="bottom"/>
            <w:gridSpan w:val="23"/>
          </w:tcPr>
          <w:p>
            <w:pPr>
              <w:spacing w:after="0"/>
              <w:rPr>
                <w:sz w:val="20"/>
                <w:szCs w:val="20"/>
                <w:color w:val="auto"/>
              </w:rPr>
            </w:pPr>
            <w:r>
              <w:rPr>
                <w:rFonts w:ascii="Arial" w:cs="Arial" w:eastAsia="Arial" w:hAnsi="Arial"/>
                <w:sz w:val="16"/>
                <w:szCs w:val="16"/>
                <w:color w:val="auto"/>
              </w:rPr>
              <w:t>Form of Common Stock Certificate (p)</w:t>
            </w:r>
          </w:p>
        </w:tc>
        <w:tc>
          <w:tcPr>
            <w:tcW w:w="162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333-13183</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11/05/1996</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24"/>
                <w:szCs w:val="24"/>
                <w:color w:val="auto"/>
              </w:rPr>
            </w:pPr>
          </w:p>
        </w:tc>
        <w:tc>
          <w:tcPr>
            <w:tcW w:w="4640" w:type="dxa"/>
            <w:vAlign w:val="bottom"/>
            <w:tcBorders>
              <w:bottom w:val="single" w:sz="8" w:color="0000EE"/>
            </w:tcBorders>
            <w:gridSpan w:val="21"/>
          </w:tcPr>
          <w:p>
            <w:pPr>
              <w:spacing w:after="0"/>
              <w:rPr>
                <w:rFonts w:ascii="Arial" w:cs="Arial" w:eastAsia="Arial" w:hAnsi="Arial"/>
                <w:sz w:val="16"/>
                <w:szCs w:val="16"/>
                <w:color w:val="0000EE"/>
              </w:rPr>
            </w:pPr>
            <w:hyperlink r:id="rId80">
              <w:r>
                <w:rPr>
                  <w:rFonts w:ascii="Arial" w:cs="Arial" w:eastAsia="Arial" w:hAnsi="Arial"/>
                  <w:sz w:val="16"/>
                  <w:szCs w:val="16"/>
                  <w:color w:val="0000EE"/>
                </w:rPr>
                <w:t>Indenture dated as of September 21, 2017, between ViaSat, Inc.</w:t>
              </w:r>
            </w:hyperlink>
          </w:p>
        </w:tc>
        <w:tc>
          <w:tcPr>
            <w:tcW w:w="120" w:type="dxa"/>
            <w:vAlign w:val="bottom"/>
            <w:gridSpan w:val="2"/>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09/21/2017</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0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80">
              <w:r>
                <w:rPr>
                  <w:rFonts w:ascii="Arial" w:cs="Arial" w:eastAsia="Arial" w:hAnsi="Arial"/>
                  <w:sz w:val="16"/>
                  <w:szCs w:val="16"/>
                  <w:color w:val="0000EE"/>
                </w:rPr>
                <w:t>and Wilmington Trust, National Association, as trustee</w:t>
              </w:r>
            </w:hyperlink>
          </w:p>
        </w:tc>
        <w:tc>
          <w:tcPr>
            <w:tcW w:w="860" w:type="dxa"/>
            <w:vAlign w:val="bottom"/>
            <w:gridSpan w:val="14"/>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4"/>
                <w:szCs w:val="24"/>
                <w:color w:val="auto"/>
              </w:rPr>
            </w:pPr>
          </w:p>
        </w:tc>
        <w:tc>
          <w:tcPr>
            <w:tcW w:w="4560" w:type="dxa"/>
            <w:vAlign w:val="bottom"/>
            <w:tcBorders>
              <w:bottom w:val="single" w:sz="8" w:color="0000EE"/>
            </w:tcBorders>
            <w:gridSpan w:val="19"/>
          </w:tcPr>
          <w:p>
            <w:pPr>
              <w:spacing w:after="0"/>
              <w:rPr>
                <w:rFonts w:ascii="Arial" w:cs="Arial" w:eastAsia="Arial" w:hAnsi="Arial"/>
                <w:sz w:val="16"/>
                <w:szCs w:val="16"/>
                <w:color w:val="0000EE"/>
              </w:rPr>
            </w:pPr>
            <w:hyperlink r:id="rId80">
              <w:r>
                <w:rPr>
                  <w:rFonts w:ascii="Arial" w:cs="Arial" w:eastAsia="Arial" w:hAnsi="Arial"/>
                  <w:sz w:val="16"/>
                  <w:szCs w:val="16"/>
                  <w:color w:val="0000EE"/>
                </w:rPr>
                <w:t>Form of 5.625% Senior Note due 2025 of ViaSat, Inc. (attached</w:t>
              </w:r>
            </w:hyperlink>
          </w:p>
        </w:tc>
        <w:tc>
          <w:tcPr>
            <w:tcW w:w="200" w:type="dxa"/>
            <w:vAlign w:val="bottom"/>
            <w:gridSpan w:val="4"/>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09/21/2017</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80">
              <w:r>
                <w:rPr>
                  <w:rFonts w:ascii="Arial" w:cs="Arial" w:eastAsia="Arial" w:hAnsi="Arial"/>
                  <w:sz w:val="16"/>
                  <w:szCs w:val="16"/>
                  <w:color w:val="0000EE"/>
                </w:rPr>
                <w:t>as Exhibit A to the Indenture filed as Exhibit 4.2 hereto)</w:t>
              </w:r>
            </w:hyperlink>
          </w:p>
        </w:tc>
        <w:tc>
          <w:tcPr>
            <w:tcW w:w="800" w:type="dxa"/>
            <w:vAlign w:val="bottom"/>
            <w:gridSpan w:val="12"/>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4.4</w:t>
            </w:r>
          </w:p>
        </w:tc>
        <w:tc>
          <w:tcPr>
            <w:tcW w:w="100" w:type="dxa"/>
            <w:vAlign w:val="bottom"/>
          </w:tcPr>
          <w:p>
            <w:pPr>
              <w:spacing w:after="0"/>
              <w:rPr>
                <w:sz w:val="24"/>
                <w:szCs w:val="24"/>
                <w:color w:val="auto"/>
              </w:rPr>
            </w:pPr>
          </w:p>
        </w:tc>
        <w:tc>
          <w:tcPr>
            <w:tcW w:w="4620" w:type="dxa"/>
            <w:vAlign w:val="bottom"/>
            <w:tcBorders>
              <w:bottom w:val="single" w:sz="8" w:color="0000EE"/>
            </w:tcBorders>
            <w:gridSpan w:val="20"/>
          </w:tcPr>
          <w:p>
            <w:pPr>
              <w:spacing w:after="0"/>
              <w:rPr>
                <w:rFonts w:ascii="Arial" w:cs="Arial" w:eastAsia="Arial" w:hAnsi="Arial"/>
                <w:sz w:val="16"/>
                <w:szCs w:val="16"/>
                <w:color w:val="0000EE"/>
              </w:rPr>
            </w:pPr>
            <w:hyperlink r:id="rId81">
              <w:r>
                <w:rPr>
                  <w:rFonts w:ascii="Arial" w:cs="Arial" w:eastAsia="Arial" w:hAnsi="Arial"/>
                  <w:sz w:val="16"/>
                  <w:szCs w:val="16"/>
                  <w:color w:val="0000EE"/>
                </w:rPr>
                <w:t>Indenture, dated as of March 27, 2019, between Viasat, Inc. and</w:t>
              </w:r>
            </w:hyperlink>
          </w:p>
        </w:tc>
        <w:tc>
          <w:tcPr>
            <w:tcW w:w="140" w:type="dxa"/>
            <w:vAlign w:val="bottom"/>
            <w:gridSpan w:val="3"/>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03/27/2019</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gridSpan w:val="23"/>
          </w:tcPr>
          <w:p>
            <w:pPr>
              <w:spacing w:after="0" w:line="169" w:lineRule="exact"/>
              <w:rPr>
                <w:rFonts w:ascii="Arial" w:cs="Arial" w:eastAsia="Arial" w:hAnsi="Arial"/>
                <w:sz w:val="16"/>
                <w:szCs w:val="16"/>
                <w:color w:val="0000EE"/>
              </w:rPr>
            </w:pPr>
            <w:hyperlink r:id="rId81">
              <w:r>
                <w:rPr>
                  <w:rFonts w:ascii="Arial" w:cs="Arial" w:eastAsia="Arial" w:hAnsi="Arial"/>
                  <w:sz w:val="16"/>
                  <w:szCs w:val="16"/>
                  <w:color w:val="0000EE"/>
                </w:rPr>
                <w:t>Wilmington Trust, National Association, as trustee and as</w:t>
              </w:r>
            </w:hyperlink>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81">
              <w:r>
                <w:rPr>
                  <w:rFonts w:ascii="Arial" w:cs="Arial" w:eastAsia="Arial" w:hAnsi="Arial"/>
                  <w:sz w:val="16"/>
                  <w:szCs w:val="16"/>
                  <w:color w:val="0000EE"/>
                </w:rPr>
                <w:t>collateral trustee</w:t>
              </w:r>
            </w:hyperlink>
          </w:p>
        </w:tc>
        <w:tc>
          <w:tcPr>
            <w:tcW w:w="2900" w:type="dxa"/>
            <w:vAlign w:val="bottom"/>
            <w:tcBorders>
              <w:top w:val="single" w:sz="8" w:color="0000EE"/>
            </w:tcBorders>
            <w:gridSpan w:val="7"/>
          </w:tcPr>
          <w:p>
            <w:pPr>
              <w:spacing w:after="0"/>
              <w:rPr>
                <w:sz w:val="14"/>
                <w:szCs w:val="14"/>
                <w:color w:val="auto"/>
              </w:rPr>
            </w:pPr>
          </w:p>
        </w:tc>
        <w:tc>
          <w:tcPr>
            <w:tcW w:w="660" w:type="dxa"/>
            <w:vAlign w:val="bottom"/>
            <w:gridSpan w:val="11"/>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4"/>
                <w:szCs w:val="24"/>
                <w:color w:val="auto"/>
              </w:rPr>
            </w:pPr>
          </w:p>
        </w:tc>
        <w:tc>
          <w:tcPr>
            <w:tcW w:w="4460" w:type="dxa"/>
            <w:vAlign w:val="bottom"/>
            <w:tcBorders>
              <w:bottom w:val="single" w:sz="8" w:color="0000EE"/>
            </w:tcBorders>
            <w:gridSpan w:val="17"/>
          </w:tcPr>
          <w:p>
            <w:pPr>
              <w:spacing w:after="0"/>
              <w:rPr>
                <w:rFonts w:ascii="Arial" w:cs="Arial" w:eastAsia="Arial" w:hAnsi="Arial"/>
                <w:sz w:val="16"/>
                <w:szCs w:val="16"/>
                <w:color w:val="0000EE"/>
              </w:rPr>
            </w:pPr>
            <w:hyperlink r:id="rId81">
              <w:r>
                <w:rPr>
                  <w:rFonts w:ascii="Arial" w:cs="Arial" w:eastAsia="Arial" w:hAnsi="Arial"/>
                  <w:sz w:val="16"/>
                  <w:szCs w:val="16"/>
                  <w:color w:val="0000EE"/>
                </w:rPr>
                <w:t>Form of 5.625% Senior Secured Note due 2027 of Viasat, Inc.</w:t>
              </w:r>
            </w:hyperlink>
          </w:p>
        </w:tc>
        <w:tc>
          <w:tcPr>
            <w:tcW w:w="300" w:type="dxa"/>
            <w:vAlign w:val="bottom"/>
            <w:gridSpan w:val="6"/>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03/27/2019</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2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r:id="rId81">
              <w:r>
                <w:rPr>
                  <w:rFonts w:ascii="Arial" w:cs="Arial" w:eastAsia="Arial" w:hAnsi="Arial"/>
                  <w:sz w:val="16"/>
                  <w:szCs w:val="16"/>
                  <w:color w:val="0000EE"/>
                </w:rPr>
                <w:t>(attached as Exhibit A to the Indenture filed as Exhibit 4.4</w:t>
              </w:r>
            </w:hyperlink>
          </w:p>
        </w:tc>
        <w:tc>
          <w:tcPr>
            <w:tcW w:w="640" w:type="dxa"/>
            <w:vAlign w:val="bottom"/>
            <w:gridSpan w:val="10"/>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gridSpan w:val="23"/>
          </w:tcPr>
          <w:p>
            <w:pPr>
              <w:spacing w:after="0" w:line="169" w:lineRule="exact"/>
              <w:rPr>
                <w:rFonts w:ascii="Arial" w:cs="Arial" w:eastAsia="Arial" w:hAnsi="Arial"/>
                <w:sz w:val="16"/>
                <w:szCs w:val="16"/>
                <w:color w:val="0000EE"/>
              </w:rPr>
            </w:pPr>
            <w:hyperlink r:id="rId81">
              <w:r>
                <w:rPr>
                  <w:rFonts w:ascii="Arial" w:cs="Arial" w:eastAsia="Arial" w:hAnsi="Arial"/>
                  <w:sz w:val="16"/>
                  <w:szCs w:val="16"/>
                  <w:color w:val="0000EE"/>
                </w:rPr>
                <w:t>hereto)</w:t>
              </w:r>
            </w:hyperlink>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24"/>
                <w:szCs w:val="24"/>
                <w:color w:val="auto"/>
              </w:rPr>
            </w:pPr>
          </w:p>
        </w:tc>
        <w:tc>
          <w:tcPr>
            <w:tcW w:w="4520" w:type="dxa"/>
            <w:vAlign w:val="bottom"/>
            <w:tcBorders>
              <w:bottom w:val="single" w:sz="8" w:color="0000EE"/>
            </w:tcBorders>
            <w:gridSpan w:val="18"/>
          </w:tcPr>
          <w:p>
            <w:pPr>
              <w:spacing w:after="0"/>
              <w:rPr>
                <w:rFonts w:ascii="Arial" w:cs="Arial" w:eastAsia="Arial" w:hAnsi="Arial"/>
                <w:sz w:val="16"/>
                <w:szCs w:val="16"/>
                <w:color w:val="0000EE"/>
              </w:rPr>
            </w:pPr>
            <w:hyperlink r:id="rId82">
              <w:r>
                <w:rPr>
                  <w:rFonts w:ascii="Arial" w:cs="Arial" w:eastAsia="Arial" w:hAnsi="Arial"/>
                  <w:sz w:val="16"/>
                  <w:szCs w:val="16"/>
                  <w:color w:val="0000EE"/>
                </w:rPr>
                <w:t>Indenture, dated as of June 24, 2020, between Viasat, Inc. and</w:t>
              </w:r>
            </w:hyperlink>
          </w:p>
        </w:tc>
        <w:tc>
          <w:tcPr>
            <w:tcW w:w="240" w:type="dxa"/>
            <w:vAlign w:val="bottom"/>
            <w:gridSpan w:val="5"/>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06/24/2020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gridSpan w:val="23"/>
          </w:tcPr>
          <w:p>
            <w:pPr>
              <w:spacing w:after="0" w:line="169" w:lineRule="exact"/>
              <w:rPr>
                <w:rFonts w:ascii="Arial" w:cs="Arial" w:eastAsia="Arial" w:hAnsi="Arial"/>
                <w:sz w:val="16"/>
                <w:szCs w:val="16"/>
                <w:color w:val="0000EE"/>
              </w:rPr>
            </w:pPr>
            <w:hyperlink r:id="rId82">
              <w:r>
                <w:rPr>
                  <w:rFonts w:ascii="Arial" w:cs="Arial" w:eastAsia="Arial" w:hAnsi="Arial"/>
                  <w:sz w:val="16"/>
                  <w:szCs w:val="16"/>
                  <w:color w:val="0000EE"/>
                </w:rPr>
                <w:t>Wilmington Trust, National Association, as trustee.</w:t>
              </w:r>
            </w:hyperlink>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4.7</w:t>
            </w:r>
          </w:p>
        </w:tc>
        <w:tc>
          <w:tcPr>
            <w:tcW w:w="100" w:type="dxa"/>
            <w:vAlign w:val="bottom"/>
          </w:tcPr>
          <w:p>
            <w:pPr>
              <w:spacing w:after="0"/>
              <w:rPr>
                <w:sz w:val="24"/>
                <w:szCs w:val="24"/>
                <w:color w:val="auto"/>
              </w:rPr>
            </w:pPr>
          </w:p>
        </w:tc>
        <w:tc>
          <w:tcPr>
            <w:tcW w:w="4760" w:type="dxa"/>
            <w:vAlign w:val="bottom"/>
            <w:gridSpan w:val="23"/>
          </w:tcPr>
          <w:p>
            <w:pPr>
              <w:spacing w:after="0"/>
              <w:rPr>
                <w:rFonts w:ascii="Arial" w:cs="Arial" w:eastAsia="Arial" w:hAnsi="Arial"/>
                <w:sz w:val="16"/>
                <w:szCs w:val="16"/>
                <w:color w:val="0000EE"/>
              </w:rPr>
            </w:pPr>
            <w:hyperlink r:id="rId82">
              <w:r>
                <w:rPr>
                  <w:rFonts w:ascii="Arial" w:cs="Arial" w:eastAsia="Arial" w:hAnsi="Arial"/>
                  <w:sz w:val="16"/>
                  <w:szCs w:val="16"/>
                  <w:color w:val="0000EE"/>
                </w:rPr>
                <w:t>Form of 6.500% Senior Note due 2028 of Viasat, Inc. (attached</w:t>
              </w:r>
            </w:hyperlink>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4.1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06/24/2020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2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82">
              <w:r>
                <w:rPr>
                  <w:rFonts w:ascii="Arial" w:cs="Arial" w:eastAsia="Arial" w:hAnsi="Arial"/>
                  <w:sz w:val="16"/>
                  <w:szCs w:val="16"/>
                  <w:color w:val="0000EE"/>
                </w:rPr>
                <w:t>as Exhibit A to the Indenture filed as Exhibit 4.6 hereto)</w:t>
              </w:r>
            </w:hyperlink>
          </w:p>
        </w:tc>
        <w:tc>
          <w:tcPr>
            <w:tcW w:w="240" w:type="dxa"/>
            <w:vAlign w:val="bottom"/>
            <w:gridSpan w:val="5"/>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8"/>
              </w:rPr>
              <w:t>4.8</w:t>
            </w:r>
          </w:p>
        </w:tc>
        <w:tc>
          <w:tcPr>
            <w:tcW w:w="100" w:type="dxa"/>
            <w:vAlign w:val="bottom"/>
          </w:tcPr>
          <w:p>
            <w:pPr>
              <w:spacing w:after="0"/>
              <w:rPr>
                <w:sz w:val="24"/>
                <w:szCs w:val="24"/>
                <w:color w:val="auto"/>
              </w:rPr>
            </w:pPr>
          </w:p>
        </w:tc>
        <w:tc>
          <w:tcPr>
            <w:tcW w:w="3960" w:type="dxa"/>
            <w:vAlign w:val="bottom"/>
            <w:tcBorders>
              <w:top w:val="single" w:sz="8" w:color="0000EE"/>
            </w:tcBorders>
            <w:gridSpan w:val="11"/>
          </w:tcPr>
          <w:p>
            <w:pPr>
              <w:spacing w:after="0"/>
              <w:rPr>
                <w:rFonts w:ascii="Arial" w:cs="Arial" w:eastAsia="Arial" w:hAnsi="Arial"/>
                <w:sz w:val="16"/>
                <w:szCs w:val="16"/>
                <w:color w:val="0000EE"/>
              </w:rPr>
            </w:pPr>
            <w:hyperlink r:id="rId83">
              <w:r>
                <w:rPr>
                  <w:rFonts w:ascii="Arial" w:cs="Arial" w:eastAsia="Arial" w:hAnsi="Arial"/>
                  <w:sz w:val="16"/>
                  <w:szCs w:val="16"/>
                  <w:color w:val="0000EE"/>
                </w:rPr>
                <w:t>Description of Registered Securities</w:t>
              </w:r>
            </w:hyperlink>
          </w:p>
        </w:tc>
        <w:tc>
          <w:tcPr>
            <w:tcW w:w="800" w:type="dxa"/>
            <w:vAlign w:val="bottom"/>
            <w:gridSpan w:val="12"/>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8"/>
              </w:rPr>
              <w:t>4.6</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05/29/2020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center"/>
              <w:ind w:left="62"/>
              <w:spacing w:after="0"/>
              <w:rPr>
                <w:sz w:val="20"/>
                <w:szCs w:val="20"/>
                <w:color w:val="auto"/>
              </w:rPr>
            </w:pPr>
            <w:r>
              <w:rPr>
                <w:rFonts w:ascii="Arial" w:cs="Arial" w:eastAsia="Arial" w:hAnsi="Arial"/>
                <w:sz w:val="16"/>
                <w:szCs w:val="16"/>
                <w:color w:val="auto"/>
                <w:w w:val="96"/>
              </w:rPr>
              <w:t>10.1</w:t>
            </w:r>
          </w:p>
        </w:tc>
        <w:tc>
          <w:tcPr>
            <w:tcW w:w="100" w:type="dxa"/>
            <w:vAlign w:val="bottom"/>
          </w:tcPr>
          <w:p>
            <w:pPr>
              <w:spacing w:after="0"/>
              <w:rPr>
                <w:sz w:val="24"/>
                <w:szCs w:val="24"/>
                <w:color w:val="auto"/>
              </w:rPr>
            </w:pPr>
          </w:p>
        </w:tc>
        <w:tc>
          <w:tcPr>
            <w:tcW w:w="4760" w:type="dxa"/>
            <w:vAlign w:val="bottom"/>
            <w:gridSpan w:val="23"/>
          </w:tcPr>
          <w:p>
            <w:pPr>
              <w:spacing w:after="0"/>
              <w:rPr>
                <w:rFonts w:ascii="Arial" w:cs="Arial" w:eastAsia="Arial" w:hAnsi="Arial"/>
                <w:sz w:val="16"/>
                <w:szCs w:val="16"/>
                <w:color w:val="0000EE"/>
              </w:rPr>
            </w:pPr>
            <w:hyperlink r:id="rId84">
              <w:r>
                <w:rPr>
                  <w:rFonts w:ascii="Arial" w:cs="Arial" w:eastAsia="Arial" w:hAnsi="Arial"/>
                  <w:sz w:val="16"/>
                  <w:szCs w:val="16"/>
                  <w:color w:val="0000EE"/>
                </w:rPr>
                <w:t>Form of Indemnification Agreement between ViaSat, Inc. and</w:t>
              </w:r>
            </w:hyperlink>
          </w:p>
        </w:tc>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99.1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03/07/2008</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84">
              <w:r>
                <w:rPr>
                  <w:rFonts w:ascii="Arial" w:cs="Arial" w:eastAsia="Arial" w:hAnsi="Arial"/>
                  <w:sz w:val="16"/>
                  <w:szCs w:val="16"/>
                  <w:color w:val="0000EE"/>
                </w:rPr>
                <w:t>each of its directors and officers</w:t>
              </w:r>
            </w:hyperlink>
          </w:p>
        </w:tc>
        <w:tc>
          <w:tcPr>
            <w:tcW w:w="2080" w:type="dxa"/>
            <w:vAlign w:val="bottom"/>
            <w:tcBorders>
              <w:top w:val="single" w:sz="8" w:color="0000EE"/>
            </w:tcBorders>
            <w:gridSpan w:val="9"/>
          </w:tcPr>
          <w:p>
            <w:pPr>
              <w:spacing w:after="0"/>
              <w:rPr>
                <w:sz w:val="14"/>
                <w:szCs w:val="14"/>
                <w:color w:val="auto"/>
              </w:rPr>
            </w:pPr>
          </w:p>
        </w:tc>
        <w:tc>
          <w:tcPr>
            <w:tcW w:w="380" w:type="dxa"/>
            <w:vAlign w:val="bottom"/>
            <w:gridSpan w:val="8"/>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Exhibit</w:t>
      </w:r>
    </w:p>
    <w:p>
      <w:pPr>
        <w:spacing w:after="0" w:line="11" w:lineRule="exact"/>
        <w:rPr>
          <w:sz w:val="20"/>
          <w:szCs w:val="20"/>
          <w:color w:val="auto"/>
        </w:rPr>
      </w:pPr>
    </w:p>
    <w:p>
      <w:pPr>
        <w:spacing w:after="0"/>
        <w:tabs>
          <w:tab w:leader="none" w:pos="256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5080</wp:posOffset>
            </wp:positionV>
            <wp:extent cx="3583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87" w:lineRule="exact"/>
        <w:rPr>
          <w:sz w:val="20"/>
          <w:szCs w:val="20"/>
          <w:color w:val="auto"/>
        </w:rPr>
      </w:pPr>
    </w:p>
    <w:p>
      <w:pPr>
        <w:ind w:left="780" w:right="220" w:hanging="684"/>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10.2*</w:t>
      </w:r>
      <w:r>
        <w:rPr>
          <w:sz w:val="20"/>
          <w:szCs w:val="20"/>
          <w:color w:val="auto"/>
        </w:rPr>
        <w:tab/>
      </w:r>
      <w:hyperlink r:id="rId87">
        <w:r>
          <w:rPr>
            <w:rFonts w:ascii="Arial" w:cs="Arial" w:eastAsia="Arial" w:hAnsi="Arial"/>
            <w:sz w:val="16"/>
            <w:szCs w:val="16"/>
            <w:u w:val="single" w:color="auto"/>
            <w:color w:val="0000EE"/>
          </w:rPr>
          <w:t>ViaSat, Inc. Employee Stock Purchase Plan (as Amended and</w:t>
        </w:r>
      </w:hyperlink>
      <w:r>
        <w:rPr>
          <w:rFonts w:ascii="Arial" w:cs="Arial" w:eastAsia="Arial" w:hAnsi="Arial"/>
          <w:sz w:val="16"/>
          <w:szCs w:val="16"/>
          <w:u w:val="single" w:color="auto"/>
          <w:color w:val="0000EE"/>
        </w:rPr>
        <w:t xml:space="preserve"> </w:t>
      </w:r>
      <w:hyperlink r:id="rId87">
        <w:r>
          <w:rPr>
            <w:rFonts w:ascii="Arial" w:cs="Arial" w:eastAsia="Arial" w:hAnsi="Arial"/>
            <w:sz w:val="16"/>
            <w:szCs w:val="16"/>
            <w:u w:val="single" w:color="auto"/>
            <w:color w:val="0000EE"/>
          </w:rPr>
          <w:t>Restated Effective September 4, 2019)</w:t>
        </w:r>
      </w:hyperlink>
    </w:p>
    <w:p>
      <w:pPr>
        <w:spacing w:after="0" w:line="101" w:lineRule="exact"/>
        <w:rPr>
          <w:sz w:val="20"/>
          <w:szCs w:val="20"/>
          <w:color w:val="auto"/>
        </w:rPr>
      </w:pPr>
    </w:p>
    <w:p>
      <w:pPr>
        <w:ind w:left="780" w:right="140" w:hanging="684"/>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10.3*</w:t>
      </w:r>
      <w:r>
        <w:rPr>
          <w:sz w:val="20"/>
          <w:szCs w:val="20"/>
          <w:color w:val="auto"/>
        </w:rPr>
        <w:tab/>
      </w:r>
      <w:hyperlink r:id="rId88">
        <w:r>
          <w:rPr>
            <w:rFonts w:ascii="Arial" w:cs="Arial" w:eastAsia="Arial" w:hAnsi="Arial"/>
            <w:sz w:val="16"/>
            <w:szCs w:val="16"/>
            <w:u w:val="single" w:color="auto"/>
            <w:color w:val="0000EE"/>
          </w:rPr>
          <w:t>1996 Equity Participation Plan of ViaSat, Inc. (As Amended and</w:t>
        </w:r>
      </w:hyperlink>
      <w:r>
        <w:rPr>
          <w:rFonts w:ascii="Arial" w:cs="Arial" w:eastAsia="Arial" w:hAnsi="Arial"/>
          <w:sz w:val="16"/>
          <w:szCs w:val="16"/>
          <w:u w:val="single" w:color="auto"/>
          <w:color w:val="0000EE"/>
        </w:rPr>
        <w:t xml:space="preserve"> </w:t>
      </w:r>
      <w:hyperlink r:id="rId88">
        <w:r>
          <w:rPr>
            <w:rFonts w:ascii="Arial" w:cs="Arial" w:eastAsia="Arial" w:hAnsi="Arial"/>
            <w:sz w:val="16"/>
            <w:szCs w:val="16"/>
            <w:u w:val="single" w:color="auto"/>
            <w:color w:val="0000EE"/>
          </w:rPr>
          <w:t>Restated Effective September 3, 2020)</w:t>
        </w:r>
      </w:hyperlink>
    </w:p>
    <w:p>
      <w:pPr>
        <w:spacing w:after="0" w:line="101" w:lineRule="exact"/>
        <w:rPr>
          <w:sz w:val="20"/>
          <w:szCs w:val="20"/>
          <w:color w:val="auto"/>
        </w:rPr>
      </w:pPr>
    </w:p>
    <w:p>
      <w:pPr>
        <w:jc w:val="center"/>
        <w:ind w:right="80"/>
        <w:spacing w:after="0" w:line="260"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10.3.1*   </w:t>
      </w:r>
      <w:hyperlink r:id="rId89">
        <w:r>
          <w:rPr>
            <w:rFonts w:ascii="Arial" w:cs="Arial" w:eastAsia="Arial" w:hAnsi="Arial"/>
            <w:sz w:val="16"/>
            <w:szCs w:val="16"/>
            <w:u w:val="single" w:color="auto"/>
            <w:color w:val="0000EE"/>
          </w:rPr>
          <w:t>Amendment to 1996 Equity Participation Plan of Viasat, Inc. (As</w:t>
        </w:r>
      </w:hyperlink>
      <w:r>
        <w:rPr>
          <w:rFonts w:ascii="Arial" w:cs="Arial" w:eastAsia="Arial" w:hAnsi="Arial"/>
          <w:sz w:val="16"/>
          <w:szCs w:val="16"/>
          <w:color w:val="auto"/>
        </w:rPr>
        <w:t xml:space="preserve"> </w:t>
      </w:r>
      <w:hyperlink r:id="rId89">
        <w:r>
          <w:rPr>
            <w:rFonts w:ascii="Arial" w:cs="Arial" w:eastAsia="Arial" w:hAnsi="Arial"/>
            <w:sz w:val="16"/>
            <w:szCs w:val="16"/>
            <w:u w:val="single" w:color="auto"/>
            <w:color w:val="0000EE"/>
          </w:rPr>
          <w:t>Amended and Restated Effective September 3, 2020)</w:t>
        </w:r>
      </w:hyperlink>
    </w:p>
    <w:p>
      <w:pPr>
        <w:spacing w:after="0" w:line="101" w:lineRule="exact"/>
        <w:rPr>
          <w:sz w:val="20"/>
          <w:szCs w:val="20"/>
          <w:color w:val="auto"/>
        </w:rPr>
      </w:pPr>
    </w:p>
    <w:p>
      <w:pPr>
        <w:ind w:left="780" w:right="920" w:hanging="684"/>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10.4*</w:t>
      </w:r>
      <w:r>
        <w:rPr>
          <w:sz w:val="20"/>
          <w:szCs w:val="20"/>
          <w:color w:val="auto"/>
        </w:rPr>
        <w:tab/>
      </w:r>
      <w:hyperlink r:id="rId90">
        <w:r>
          <w:rPr>
            <w:rFonts w:ascii="Arial" w:cs="Arial" w:eastAsia="Arial" w:hAnsi="Arial"/>
            <w:sz w:val="16"/>
            <w:szCs w:val="16"/>
            <w:u w:val="single" w:color="auto"/>
            <w:color w:val="0000EE"/>
          </w:rPr>
          <w:t>Form of Stock Option Agreement for the 1996 Equity</w:t>
        </w:r>
      </w:hyperlink>
      <w:r>
        <w:rPr>
          <w:rFonts w:ascii="Arial" w:cs="Arial" w:eastAsia="Arial" w:hAnsi="Arial"/>
          <w:sz w:val="16"/>
          <w:szCs w:val="16"/>
          <w:u w:val="single" w:color="auto"/>
          <w:color w:val="0000EE"/>
        </w:rPr>
        <w:t xml:space="preserve"> </w:t>
      </w:r>
      <w:hyperlink r:id="rId90">
        <w:r>
          <w:rPr>
            <w:rFonts w:ascii="Arial" w:cs="Arial" w:eastAsia="Arial" w:hAnsi="Arial"/>
            <w:sz w:val="16"/>
            <w:szCs w:val="16"/>
            <w:u w:val="single" w:color="auto"/>
            <w:color w:val="0000EE"/>
          </w:rPr>
          <w:t>Participation Plan of ViaSat, Inc.</w:t>
        </w:r>
      </w:hyperlink>
    </w:p>
    <w:p>
      <w:pPr>
        <w:spacing w:after="0" w:line="101" w:lineRule="exact"/>
        <w:rPr>
          <w:sz w:val="20"/>
          <w:szCs w:val="20"/>
          <w:color w:val="auto"/>
        </w:rPr>
      </w:pPr>
    </w:p>
    <w:p>
      <w:pPr>
        <w:ind w:left="780" w:right="440" w:hanging="684"/>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10.5*</w:t>
      </w:r>
      <w:r>
        <w:rPr>
          <w:sz w:val="20"/>
          <w:szCs w:val="20"/>
          <w:color w:val="auto"/>
        </w:rPr>
        <w:tab/>
      </w:r>
      <w:hyperlink r:id="rId91">
        <w:r>
          <w:rPr>
            <w:rFonts w:ascii="Arial" w:cs="Arial" w:eastAsia="Arial" w:hAnsi="Arial"/>
            <w:sz w:val="16"/>
            <w:szCs w:val="16"/>
            <w:u w:val="single" w:color="auto"/>
            <w:color w:val="0000EE"/>
          </w:rPr>
          <w:t>Form of Performance Stock Option Agreement for the 1996</w:t>
        </w:r>
      </w:hyperlink>
      <w:r>
        <w:rPr>
          <w:rFonts w:ascii="Arial" w:cs="Arial" w:eastAsia="Arial" w:hAnsi="Arial"/>
          <w:sz w:val="16"/>
          <w:szCs w:val="16"/>
          <w:u w:val="single" w:color="auto"/>
          <w:color w:val="0000EE"/>
        </w:rPr>
        <w:t xml:space="preserve"> </w:t>
      </w:r>
      <w:hyperlink r:id="rId91">
        <w:r>
          <w:rPr>
            <w:rFonts w:ascii="Arial" w:cs="Arial" w:eastAsia="Arial" w:hAnsi="Arial"/>
            <w:sz w:val="16"/>
            <w:szCs w:val="16"/>
            <w:u w:val="single" w:color="auto"/>
            <w:color w:val="0000EE"/>
          </w:rPr>
          <w:t>Equity Participation Plan of ViaSat, Inc.</w:t>
        </w:r>
      </w:hyperlink>
    </w:p>
    <w:p>
      <w:pPr>
        <w:spacing w:after="0" w:line="101" w:lineRule="exact"/>
        <w:rPr>
          <w:sz w:val="20"/>
          <w:szCs w:val="20"/>
          <w:color w:val="auto"/>
        </w:rPr>
      </w:pPr>
    </w:p>
    <w:p>
      <w:pPr>
        <w:ind w:left="780" w:right="320" w:hanging="684"/>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10.6*</w:t>
      </w:r>
      <w:r>
        <w:rPr>
          <w:sz w:val="20"/>
          <w:szCs w:val="20"/>
          <w:color w:val="auto"/>
        </w:rPr>
        <w:tab/>
      </w:r>
      <w:hyperlink r:id="rId92">
        <w:r>
          <w:rPr>
            <w:rFonts w:ascii="Arial" w:cs="Arial" w:eastAsia="Arial" w:hAnsi="Arial"/>
            <w:sz w:val="16"/>
            <w:szCs w:val="16"/>
            <w:u w:val="single" w:color="auto"/>
            <w:color w:val="0000EE"/>
          </w:rPr>
          <w:t>Form of Restricted Stock Unit Award Agreement for the 1996</w:t>
        </w:r>
      </w:hyperlink>
      <w:r>
        <w:rPr>
          <w:rFonts w:ascii="Arial" w:cs="Arial" w:eastAsia="Arial" w:hAnsi="Arial"/>
          <w:sz w:val="16"/>
          <w:szCs w:val="16"/>
          <w:u w:val="single" w:color="auto"/>
          <w:color w:val="0000EE"/>
        </w:rPr>
        <w:t xml:space="preserve"> </w:t>
      </w:r>
      <w:hyperlink r:id="rId92">
        <w:r>
          <w:rPr>
            <w:rFonts w:ascii="Arial" w:cs="Arial" w:eastAsia="Arial" w:hAnsi="Arial"/>
            <w:sz w:val="16"/>
            <w:szCs w:val="16"/>
            <w:u w:val="single" w:color="auto"/>
            <w:color w:val="0000EE"/>
          </w:rPr>
          <w:t>Equity Participation Plan of ViaSat, Inc.—Global</w:t>
        </w:r>
      </w:hyperlink>
    </w:p>
    <w:p>
      <w:pPr>
        <w:spacing w:after="0" w:line="101" w:lineRule="exact"/>
        <w:rPr>
          <w:sz w:val="20"/>
          <w:szCs w:val="20"/>
          <w:color w:val="auto"/>
        </w:rPr>
      </w:pPr>
    </w:p>
    <w:p>
      <w:pPr>
        <w:ind w:left="780" w:right="220" w:hanging="684"/>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10.7*</w:t>
      </w:r>
      <w:r>
        <w:rPr>
          <w:sz w:val="20"/>
          <w:szCs w:val="20"/>
          <w:color w:val="auto"/>
        </w:rPr>
        <w:tab/>
      </w:r>
      <w:hyperlink r:id="rId93">
        <w:r>
          <w:rPr>
            <w:rFonts w:ascii="Arial" w:cs="Arial" w:eastAsia="Arial" w:hAnsi="Arial"/>
            <w:sz w:val="16"/>
            <w:szCs w:val="16"/>
            <w:u w:val="single" w:color="auto"/>
            <w:color w:val="0000EE"/>
          </w:rPr>
          <w:t>Form of Restricted Stock Unit Award Agreement for the 1996</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Equity Participation Plan of ViaSat, Inc.—Independent Director</w:t>
        </w:r>
      </w:hyperlink>
    </w:p>
    <w:p>
      <w:pPr>
        <w:spacing w:after="0" w:line="101" w:lineRule="exact"/>
        <w:rPr>
          <w:sz w:val="20"/>
          <w:szCs w:val="20"/>
          <w:color w:val="auto"/>
        </w:rPr>
      </w:pPr>
    </w:p>
    <w:p>
      <w:pPr>
        <w:jc w:val="center"/>
        <w:ind w:right="220"/>
        <w:spacing w:after="0" w:line="260"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10.8*    </w:t>
      </w:r>
      <w:hyperlink r:id="rId94">
        <w:r>
          <w:rPr>
            <w:rFonts w:ascii="Arial" w:cs="Arial" w:eastAsia="Arial" w:hAnsi="Arial"/>
            <w:sz w:val="16"/>
            <w:szCs w:val="16"/>
            <w:u w:val="single" w:color="auto"/>
            <w:color w:val="0000EE"/>
          </w:rPr>
          <w:t>Form of Restricted Stock Unit Award Agreement for the 1996</w:t>
        </w:r>
      </w:hyperlink>
      <w:r>
        <w:rPr>
          <w:rFonts w:ascii="Arial" w:cs="Arial" w:eastAsia="Arial" w:hAnsi="Arial"/>
          <w:sz w:val="16"/>
          <w:szCs w:val="16"/>
          <w:color w:val="auto"/>
        </w:rPr>
        <w:t xml:space="preserve"> </w:t>
      </w:r>
      <w:hyperlink r:id="rId94">
        <w:r>
          <w:rPr>
            <w:rFonts w:ascii="Arial" w:cs="Arial" w:eastAsia="Arial" w:hAnsi="Arial"/>
            <w:sz w:val="16"/>
            <w:szCs w:val="16"/>
            <w:u w:val="single" w:color="auto"/>
            <w:color w:val="0000EE"/>
          </w:rPr>
          <w:t>Equity Participation Plan of ViaSat, Inc.—Executive</w:t>
        </w:r>
      </w:hyperlink>
    </w:p>
    <w:p>
      <w:pPr>
        <w:spacing w:after="0" w:line="101" w:lineRule="exact"/>
        <w:rPr>
          <w:sz w:val="20"/>
          <w:szCs w:val="20"/>
          <w:color w:val="auto"/>
        </w:rPr>
      </w:pPr>
    </w:p>
    <w:p>
      <w:pPr>
        <w:ind w:left="780" w:right="460" w:hanging="684"/>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10.9*</w:t>
      </w:r>
      <w:r>
        <w:rPr>
          <w:sz w:val="20"/>
          <w:szCs w:val="20"/>
          <w:color w:val="auto"/>
        </w:rPr>
        <w:tab/>
      </w:r>
      <w:hyperlink r:id="rId95">
        <w:r>
          <w:rPr>
            <w:rFonts w:ascii="Arial" w:cs="Arial" w:eastAsia="Arial" w:hAnsi="Arial"/>
            <w:sz w:val="16"/>
            <w:szCs w:val="16"/>
            <w:u w:val="single" w:color="auto"/>
            <w:color w:val="0000EE"/>
          </w:rPr>
          <w:t>Form of Change in Control Severance Agreement between</w:t>
        </w:r>
      </w:hyperlink>
      <w:r>
        <w:rPr>
          <w:rFonts w:ascii="Arial" w:cs="Arial" w:eastAsia="Arial" w:hAnsi="Arial"/>
          <w:sz w:val="16"/>
          <w:szCs w:val="16"/>
          <w:u w:val="single" w:color="auto"/>
          <w:color w:val="0000EE"/>
        </w:rPr>
        <w:t xml:space="preserve"> </w:t>
      </w:r>
      <w:hyperlink r:id="rId95">
        <w:r>
          <w:rPr>
            <w:rFonts w:ascii="Arial" w:cs="Arial" w:eastAsia="Arial" w:hAnsi="Arial"/>
            <w:sz w:val="16"/>
            <w:szCs w:val="16"/>
            <w:u w:val="single" w:color="auto"/>
            <w:color w:val="0000EE"/>
          </w:rPr>
          <w:t>ViaSat, Inc. and each of its executive officers</w:t>
        </w:r>
      </w:hyperlink>
    </w:p>
    <w:p>
      <w:pPr>
        <w:spacing w:after="0" w:line="101" w:lineRule="exact"/>
        <w:rPr>
          <w:sz w:val="20"/>
          <w:szCs w:val="20"/>
          <w:color w:val="auto"/>
        </w:rPr>
      </w:pPr>
    </w:p>
    <w:p>
      <w:pPr>
        <w:ind w:left="780" w:right="220" w:hanging="698"/>
        <w:spacing w:after="0" w:line="253"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10.10</w:t>
      </w:r>
      <w:r>
        <w:rPr>
          <w:sz w:val="20"/>
          <w:szCs w:val="20"/>
          <w:color w:val="auto"/>
        </w:rPr>
        <w:tab/>
      </w:r>
      <w:hyperlink r:id="rId96">
        <w:r>
          <w:rPr>
            <w:rFonts w:ascii="Arial" w:cs="Arial" w:eastAsia="Arial" w:hAnsi="Arial"/>
            <w:sz w:val="16"/>
            <w:szCs w:val="16"/>
            <w:u w:val="single" w:color="auto"/>
            <w:color w:val="0000EE"/>
          </w:rPr>
          <w:t>Credit Agreement dated as of November 26, 2013, by and</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among ViaSat, Inc., Union Bank, N.A. (as agent) and the other</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lenders party thereto</w:t>
        </w:r>
      </w:hyperlink>
    </w:p>
    <w:p>
      <w:pPr>
        <w:spacing w:after="0" w:line="107" w:lineRule="exact"/>
        <w:rPr>
          <w:rFonts w:ascii="Arial" w:cs="Arial" w:eastAsia="Arial" w:hAnsi="Arial"/>
          <w:sz w:val="16"/>
          <w:szCs w:val="16"/>
          <w:u w:val="single" w:color="auto"/>
          <w:color w:val="0000EE"/>
        </w:rPr>
      </w:pPr>
    </w:p>
    <w:p>
      <w:pPr>
        <w:ind w:left="780" w:right="180" w:hanging="765"/>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10.10.1</w:t>
      </w:r>
      <w:r>
        <w:rPr>
          <w:sz w:val="20"/>
          <w:szCs w:val="20"/>
          <w:color w:val="auto"/>
        </w:rPr>
        <w:tab/>
      </w:r>
      <w:hyperlink r:id="rId97">
        <w:r>
          <w:rPr>
            <w:rFonts w:ascii="Arial" w:cs="Arial" w:eastAsia="Arial" w:hAnsi="Arial"/>
            <w:sz w:val="16"/>
            <w:szCs w:val="16"/>
            <w:u w:val="single" w:color="auto"/>
            <w:color w:val="0000EE"/>
          </w:rPr>
          <w:t>First Amendment to Credit Agreement and Other Loan</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Documents dated as of March 12, 2015, by and among ViaSat,</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Inc., Union Bank, N.A. (as agent) and the other lenders party</w:t>
        </w:r>
      </w:hyperlink>
      <w:r>
        <w:rPr>
          <w:rFonts w:ascii="Arial" w:cs="Arial" w:eastAsia="Arial" w:hAnsi="Arial"/>
          <w:sz w:val="16"/>
          <w:szCs w:val="16"/>
          <w:u w:val="single" w:color="auto"/>
          <w:color w:val="0000EE"/>
        </w:rPr>
        <w:t xml:space="preserve"> </w:t>
      </w:r>
      <w:hyperlink r:id="rId97">
        <w:r>
          <w:rPr>
            <w:rFonts w:ascii="Arial" w:cs="Arial" w:eastAsia="Arial" w:hAnsi="Arial"/>
            <w:sz w:val="16"/>
            <w:szCs w:val="16"/>
            <w:u w:val="single" w:color="auto"/>
            <w:color w:val="0000EE"/>
          </w:rPr>
          <w:t>thereto</w:t>
        </w:r>
      </w:hyperlink>
    </w:p>
    <w:p>
      <w:pPr>
        <w:spacing w:after="0" w:line="108" w:lineRule="exact"/>
        <w:rPr>
          <w:rFonts w:ascii="Arial" w:cs="Arial" w:eastAsia="Arial" w:hAnsi="Arial"/>
          <w:sz w:val="16"/>
          <w:szCs w:val="16"/>
          <w:u w:val="single" w:color="auto"/>
          <w:color w:val="0000EE"/>
        </w:rPr>
      </w:pPr>
    </w:p>
    <w:p>
      <w:pPr>
        <w:ind w:left="780" w:right="220" w:hanging="765"/>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10.10.2</w:t>
      </w:r>
      <w:r>
        <w:rPr>
          <w:sz w:val="20"/>
          <w:szCs w:val="20"/>
          <w:color w:val="auto"/>
        </w:rPr>
        <w:tab/>
      </w:r>
      <w:hyperlink r:id="rId98">
        <w:r>
          <w:rPr>
            <w:rFonts w:ascii="Arial" w:cs="Arial" w:eastAsia="Arial" w:hAnsi="Arial"/>
            <w:sz w:val="16"/>
            <w:szCs w:val="16"/>
            <w:u w:val="single" w:color="auto"/>
            <w:color w:val="0000EE"/>
          </w:rPr>
          <w:t>Second Amendment to Credit Agreement and Other Loan</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Documents dated as of May 24, 2016, by and among Viasat,</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Inc., MUFG Union Bank, N.A. (as agent) and the other lenders</w:t>
        </w:r>
      </w:hyperlink>
      <w:r>
        <w:rPr>
          <w:rFonts w:ascii="Arial" w:cs="Arial" w:eastAsia="Arial" w:hAnsi="Arial"/>
          <w:sz w:val="16"/>
          <w:szCs w:val="16"/>
          <w:u w:val="single" w:color="auto"/>
          <w:color w:val="0000EE"/>
        </w:rPr>
        <w:t xml:space="preserve"> </w:t>
      </w:r>
      <w:hyperlink r:id="rId98">
        <w:r>
          <w:rPr>
            <w:rFonts w:ascii="Arial" w:cs="Arial" w:eastAsia="Arial" w:hAnsi="Arial"/>
            <w:sz w:val="16"/>
            <w:szCs w:val="16"/>
            <w:u w:val="single" w:color="auto"/>
            <w:color w:val="0000EE"/>
          </w:rPr>
          <w:t>party thereto</w:t>
        </w:r>
      </w:hyperlink>
    </w:p>
    <w:p>
      <w:pPr>
        <w:spacing w:after="0" w:line="108" w:lineRule="exact"/>
        <w:rPr>
          <w:rFonts w:ascii="Arial" w:cs="Arial" w:eastAsia="Arial" w:hAnsi="Arial"/>
          <w:sz w:val="16"/>
          <w:szCs w:val="16"/>
          <w:u w:val="single" w:color="auto"/>
          <w:color w:val="0000EE"/>
        </w:rPr>
      </w:pPr>
    </w:p>
    <w:p>
      <w:pPr>
        <w:ind w:left="780" w:right="300" w:hanging="765"/>
        <w:spacing w:after="0" w:line="253"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10.10.3</w:t>
      </w:r>
      <w:r>
        <w:rPr>
          <w:sz w:val="20"/>
          <w:szCs w:val="20"/>
          <w:color w:val="auto"/>
        </w:rPr>
        <w:tab/>
      </w:r>
      <w:hyperlink r:id="rId99">
        <w:r>
          <w:rPr>
            <w:rFonts w:ascii="Arial" w:cs="Arial" w:eastAsia="Arial" w:hAnsi="Arial"/>
            <w:sz w:val="16"/>
            <w:szCs w:val="16"/>
            <w:u w:val="single" w:color="auto"/>
            <w:color w:val="0000EE"/>
          </w:rPr>
          <w:t>Third Amendment to Credit Agreement dated as of May 24,</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2018 by and among Viasat, Inc., MUFG Union Bank, N.A. (as</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agent) and the other lenders party thereto</w:t>
        </w:r>
      </w:hyperlink>
    </w:p>
    <w:p>
      <w:pPr>
        <w:spacing w:after="0" w:line="107" w:lineRule="exact"/>
        <w:rPr>
          <w:rFonts w:ascii="Arial" w:cs="Arial" w:eastAsia="Arial" w:hAnsi="Arial"/>
          <w:sz w:val="16"/>
          <w:szCs w:val="16"/>
          <w:u w:val="single" w:color="auto"/>
          <w:color w:val="0000EE"/>
        </w:rPr>
      </w:pPr>
    </w:p>
    <w:p>
      <w:pPr>
        <w:ind w:left="780" w:right="80" w:hanging="765"/>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10.10.4</w:t>
      </w:r>
      <w:r>
        <w:rPr>
          <w:sz w:val="20"/>
          <w:szCs w:val="20"/>
          <w:color w:val="auto"/>
        </w:rPr>
        <w:tab/>
      </w:r>
      <w:hyperlink r:id="rId100">
        <w:r>
          <w:rPr>
            <w:rFonts w:ascii="Arial" w:cs="Arial" w:eastAsia="Arial" w:hAnsi="Arial"/>
            <w:sz w:val="16"/>
            <w:szCs w:val="16"/>
            <w:u w:val="single" w:color="auto"/>
            <w:color w:val="0000EE"/>
          </w:rPr>
          <w:t>Fourth Amendment to Credit Agreement dated as of January 18,</w:t>
        </w:r>
      </w:hyperlink>
      <w:r>
        <w:rPr>
          <w:rFonts w:ascii="Arial" w:cs="Arial" w:eastAsia="Arial" w:hAnsi="Arial"/>
          <w:sz w:val="16"/>
          <w:szCs w:val="16"/>
          <w:u w:val="single" w:color="auto"/>
          <w:color w:val="0000EE"/>
        </w:rPr>
        <w:t xml:space="preserve"> </w:t>
      </w:r>
      <w:hyperlink r:id="rId100">
        <w:r>
          <w:rPr>
            <w:rFonts w:ascii="Arial" w:cs="Arial" w:eastAsia="Arial" w:hAnsi="Arial"/>
            <w:sz w:val="16"/>
            <w:szCs w:val="16"/>
            <w:u w:val="single" w:color="auto"/>
            <w:color w:val="0000EE"/>
          </w:rPr>
          <w:t>2019, by and among Viasat, Inc., MUFG Union Bank, N.A. (as</w:t>
        </w:r>
      </w:hyperlink>
      <w:r>
        <w:rPr>
          <w:rFonts w:ascii="Arial" w:cs="Arial" w:eastAsia="Arial" w:hAnsi="Arial"/>
          <w:sz w:val="16"/>
          <w:szCs w:val="16"/>
          <w:u w:val="single" w:color="auto"/>
          <w:color w:val="0000EE"/>
        </w:rPr>
        <w:t xml:space="preserve"> </w:t>
      </w:r>
      <w:hyperlink r:id="rId100">
        <w:r>
          <w:rPr>
            <w:rFonts w:ascii="Arial" w:cs="Arial" w:eastAsia="Arial" w:hAnsi="Arial"/>
            <w:sz w:val="16"/>
            <w:szCs w:val="16"/>
            <w:u w:val="single" w:color="auto"/>
            <w:color w:val="0000EE"/>
          </w:rPr>
          <w:t>administrative agent and collateral agent) and the other lenders</w:t>
        </w:r>
      </w:hyperlink>
      <w:r>
        <w:rPr>
          <w:rFonts w:ascii="Arial" w:cs="Arial" w:eastAsia="Arial" w:hAnsi="Arial"/>
          <w:sz w:val="16"/>
          <w:szCs w:val="16"/>
          <w:u w:val="single" w:color="auto"/>
          <w:color w:val="0000EE"/>
        </w:rPr>
        <w:t xml:space="preserve"> </w:t>
      </w:r>
      <w:hyperlink r:id="rId100">
        <w:r>
          <w:rPr>
            <w:rFonts w:ascii="Arial" w:cs="Arial" w:eastAsia="Arial" w:hAnsi="Arial"/>
            <w:sz w:val="16"/>
            <w:szCs w:val="16"/>
            <w:u w:val="single" w:color="auto"/>
            <w:color w:val="0000EE"/>
          </w:rPr>
          <w:t>party thereto</w:t>
        </w:r>
      </w:hyperlink>
    </w:p>
    <w:p>
      <w:pPr>
        <w:spacing w:after="0" w:line="108" w:lineRule="exact"/>
        <w:rPr>
          <w:rFonts w:ascii="Arial" w:cs="Arial" w:eastAsia="Arial" w:hAnsi="Arial"/>
          <w:sz w:val="16"/>
          <w:szCs w:val="16"/>
          <w:u w:val="single" w:color="auto"/>
          <w:color w:val="0000EE"/>
        </w:rPr>
      </w:pPr>
    </w:p>
    <w:p>
      <w:pPr>
        <w:ind w:left="780" w:right="280" w:hanging="698"/>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10.11</w:t>
      </w:r>
      <w:r>
        <w:rPr>
          <w:sz w:val="20"/>
          <w:szCs w:val="20"/>
          <w:color w:val="auto"/>
        </w:rPr>
        <w:tab/>
      </w:r>
      <w:hyperlink r:id="rId101">
        <w:r>
          <w:rPr>
            <w:rFonts w:ascii="Arial" w:cs="Arial" w:eastAsia="Arial" w:hAnsi="Arial"/>
            <w:sz w:val="16"/>
            <w:szCs w:val="16"/>
            <w:u w:val="single" w:color="auto"/>
            <w:color w:val="0000EE"/>
          </w:rPr>
          <w:t>Credit Agreement dated as of March 12, 2015, by and among</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ViaSat Technologies Limited, ViaSat, Inc., JPMorgan Chase</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Bank, National Association (as Ex-Im facility agent) and the</w:t>
        </w:r>
      </w:hyperlink>
      <w:r>
        <w:rPr>
          <w:rFonts w:ascii="Arial" w:cs="Arial" w:eastAsia="Arial" w:hAnsi="Arial"/>
          <w:sz w:val="16"/>
          <w:szCs w:val="16"/>
          <w:u w:val="single" w:color="auto"/>
          <w:color w:val="0000EE"/>
        </w:rPr>
        <w:t xml:space="preserve"> </w:t>
      </w:r>
      <w:hyperlink r:id="rId101">
        <w:r>
          <w:rPr>
            <w:rFonts w:ascii="Arial" w:cs="Arial" w:eastAsia="Arial" w:hAnsi="Arial"/>
            <w:sz w:val="16"/>
            <w:szCs w:val="16"/>
            <w:u w:val="single" w:color="auto"/>
            <w:color w:val="0000EE"/>
          </w:rPr>
          <w:t>Export-Import Bank of the United States</w:t>
        </w:r>
      </w:hyperlink>
    </w:p>
    <w:p>
      <w:pPr>
        <w:spacing w:after="0" w:line="200"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-159385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54"/>
        </w:trPr>
        <w:tc>
          <w:tcPr>
            <w:tcW w:w="16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Incorporated by Reference</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39"/>
        </w:trPr>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20" w:type="dxa"/>
            <w:vAlign w:val="bottom"/>
          </w:tcPr>
          <w:p>
            <w:pPr>
              <w:spacing w:after="0"/>
              <w:rPr>
                <w:sz w:val="10"/>
                <w:szCs w:val="10"/>
                <w:color w:val="auto"/>
              </w:rPr>
            </w:pPr>
          </w:p>
        </w:tc>
        <w:tc>
          <w:tcPr>
            <w:tcW w:w="10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File No.</w:t>
            </w:r>
          </w:p>
        </w:tc>
        <w:tc>
          <w:tcPr>
            <w:tcW w:w="14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0"/>
                <w:szCs w:val="10"/>
                <w:color w:val="auto"/>
              </w:rPr>
            </w:pPr>
          </w:p>
        </w:tc>
        <w:tc>
          <w:tcPr>
            <w:tcW w:w="10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Filing Date</w:t>
            </w: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47"/>
        </w:trPr>
        <w:tc>
          <w:tcPr>
            <w:tcW w:w="16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477"/>
        </w:trPr>
        <w:tc>
          <w:tcPr>
            <w:tcW w:w="162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333-234634</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10.7</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11/12/2019</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09/09/2020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62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333-255690</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10.2</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04/30/2021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62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10.4</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05/26/2015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62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39"/>
              <w:spacing w:after="0"/>
              <w:rPr>
                <w:sz w:val="20"/>
                <w:szCs w:val="20"/>
                <w:color w:val="auto"/>
              </w:rPr>
            </w:pPr>
            <w:r>
              <w:rPr>
                <w:rFonts w:ascii="Arial" w:cs="Arial" w:eastAsia="Arial" w:hAnsi="Arial"/>
                <w:sz w:val="16"/>
                <w:szCs w:val="16"/>
                <w:color w:val="auto"/>
              </w:rPr>
              <w:t>02/9/2018</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62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10.5</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05/25/2017</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62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10.6</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05/26/2015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62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10.7</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05/26/2015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08/04/2010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11/26/2013</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10.2</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03/13/2015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7"/>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05/24/2016</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620" w:type="dxa"/>
            <w:vAlign w:val="bottom"/>
          </w:tcPr>
          <w:p>
            <w:pPr>
              <w:jc w:val="center"/>
              <w:spacing w:after="0"/>
              <w:rPr>
                <w:sz w:val="20"/>
                <w:szCs w:val="20"/>
                <w:color w:val="auto"/>
              </w:rPr>
            </w:pPr>
            <w:r>
              <w:rPr>
                <w:rFonts w:ascii="Arial" w:cs="Arial" w:eastAsia="Arial" w:hAnsi="Arial"/>
                <w:sz w:val="16"/>
                <w:szCs w:val="16"/>
                <w:color w:val="auto"/>
              </w:rPr>
              <w:t>10-K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rPr>
              <w:t>10.10.3</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05/30/2018</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01/22/2019</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03/13/2015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5480" w:space="60"/>
            <w:col w:w="5460"/>
          </w:cols>
          <w:pgMar w:left="560" w:top="128" w:right="339" w:bottom="1440" w:gutter="0" w:footer="0" w:header="0"/>
        </w:sectPr>
      </w:pPr>
    </w:p>
    <w:bookmarkStart w:id="61" w:name="page62"/>
    <w:bookmarkEnd w:id="61"/>
    <w:p>
      <w:pPr>
        <w:spacing w:after="0" w:line="18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Exhibit</w:t>
      </w:r>
    </w:p>
    <w:p>
      <w:pPr>
        <w:spacing w:after="0" w:line="11" w:lineRule="exact"/>
        <w:rPr>
          <w:sz w:val="20"/>
          <w:szCs w:val="20"/>
          <w:color w:val="auto"/>
        </w:rPr>
      </w:pPr>
    </w:p>
    <w:p>
      <w:pPr>
        <w:spacing w:after="0"/>
        <w:tabs>
          <w:tab w:leader="none" w:pos="256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5080</wp:posOffset>
            </wp:positionV>
            <wp:extent cx="35833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87" w:lineRule="exact"/>
        <w:rPr>
          <w:sz w:val="20"/>
          <w:szCs w:val="20"/>
          <w:color w:val="auto"/>
        </w:rPr>
      </w:pPr>
    </w:p>
    <w:p>
      <w:pPr>
        <w:ind w:left="780" w:right="180" w:hanging="765"/>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10.11.1</w:t>
      </w:r>
      <w:r>
        <w:rPr>
          <w:sz w:val="20"/>
          <w:szCs w:val="20"/>
          <w:color w:val="auto"/>
        </w:rPr>
        <w:tab/>
      </w:r>
      <w:hyperlink r:id="rId104">
        <w:r>
          <w:rPr>
            <w:rFonts w:ascii="Arial" w:cs="Arial" w:eastAsia="Arial" w:hAnsi="Arial"/>
            <w:sz w:val="16"/>
            <w:szCs w:val="16"/>
            <w:u w:val="single" w:color="auto"/>
            <w:color w:val="0000EE"/>
          </w:rPr>
          <w:t>First Amendment to Credit Agreement, dated as of June 12,</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2015, by and among ViaSat Technologies Limited, ViaSat, Inc.,</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JPMorgan Chase Bank, National Association (as Ex-Im Facility</w:t>
        </w:r>
      </w:hyperlink>
      <w:r>
        <w:rPr>
          <w:rFonts w:ascii="Arial" w:cs="Arial" w:eastAsia="Arial" w:hAnsi="Arial"/>
          <w:sz w:val="16"/>
          <w:szCs w:val="16"/>
          <w:u w:val="single" w:color="auto"/>
          <w:color w:val="0000EE"/>
        </w:rPr>
        <w:t xml:space="preserve"> </w:t>
      </w:r>
      <w:hyperlink r:id="rId104">
        <w:r>
          <w:rPr>
            <w:rFonts w:ascii="Arial" w:cs="Arial" w:eastAsia="Arial" w:hAnsi="Arial"/>
            <w:sz w:val="16"/>
            <w:szCs w:val="16"/>
            <w:u w:val="single" w:color="auto"/>
            <w:color w:val="0000EE"/>
          </w:rPr>
          <w:t>Agent) and the Export-Import Bank of the United States</w:t>
        </w:r>
      </w:hyperlink>
    </w:p>
    <w:p>
      <w:pPr>
        <w:spacing w:after="0" w:line="108" w:lineRule="exact"/>
        <w:rPr>
          <w:rFonts w:ascii="Arial" w:cs="Arial" w:eastAsia="Arial" w:hAnsi="Arial"/>
          <w:sz w:val="16"/>
          <w:szCs w:val="16"/>
          <w:u w:val="single" w:color="auto"/>
          <w:color w:val="0000EE"/>
        </w:rPr>
      </w:pPr>
    </w:p>
    <w:p>
      <w:pPr>
        <w:ind w:left="780" w:right="180" w:hanging="765"/>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10.11.2</w:t>
      </w:r>
      <w:r>
        <w:rPr>
          <w:sz w:val="20"/>
          <w:szCs w:val="20"/>
          <w:color w:val="auto"/>
        </w:rPr>
        <w:tab/>
      </w:r>
      <w:hyperlink r:id="rId105">
        <w:r>
          <w:rPr>
            <w:rFonts w:ascii="Arial" w:cs="Arial" w:eastAsia="Arial" w:hAnsi="Arial"/>
            <w:sz w:val="16"/>
            <w:szCs w:val="16"/>
            <w:u w:val="single" w:color="auto"/>
            <w:color w:val="0000EE"/>
          </w:rPr>
          <w:t>Second Amendment Agreement, dated as of March 23, 2016,</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by and among ViaSat Technologies Limited, ViaSat, Inc.,</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JPMorgan Chase Bank, National Association (as Ex-Im Facility</w:t>
        </w:r>
      </w:hyperlink>
      <w:r>
        <w:rPr>
          <w:rFonts w:ascii="Arial" w:cs="Arial" w:eastAsia="Arial" w:hAnsi="Arial"/>
          <w:sz w:val="16"/>
          <w:szCs w:val="16"/>
          <w:u w:val="single" w:color="auto"/>
          <w:color w:val="0000EE"/>
        </w:rPr>
        <w:t xml:space="preserve"> </w:t>
      </w:r>
      <w:hyperlink r:id="rId105">
        <w:r>
          <w:rPr>
            <w:rFonts w:ascii="Arial" w:cs="Arial" w:eastAsia="Arial" w:hAnsi="Arial"/>
            <w:sz w:val="16"/>
            <w:szCs w:val="16"/>
            <w:u w:val="single" w:color="auto"/>
            <w:color w:val="0000EE"/>
          </w:rPr>
          <w:t>Agent) and the Export-Import Bank of the United States</w:t>
        </w:r>
      </w:hyperlink>
    </w:p>
    <w:p>
      <w:pPr>
        <w:spacing w:after="0" w:line="108" w:lineRule="exact"/>
        <w:rPr>
          <w:rFonts w:ascii="Arial" w:cs="Arial" w:eastAsia="Arial" w:hAnsi="Arial"/>
          <w:sz w:val="16"/>
          <w:szCs w:val="16"/>
          <w:u w:val="single" w:color="auto"/>
          <w:color w:val="0000EE"/>
        </w:rPr>
      </w:pPr>
    </w:p>
    <w:p>
      <w:pPr>
        <w:ind w:left="780" w:right="120" w:hanging="765"/>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10.11.3</w:t>
      </w:r>
      <w:r>
        <w:rPr>
          <w:sz w:val="20"/>
          <w:szCs w:val="20"/>
          <w:color w:val="auto"/>
        </w:rPr>
        <w:tab/>
      </w:r>
      <w:hyperlink r:id="rId106">
        <w:r>
          <w:rPr>
            <w:rFonts w:ascii="Arial" w:cs="Arial" w:eastAsia="Arial" w:hAnsi="Arial"/>
            <w:sz w:val="16"/>
            <w:szCs w:val="16"/>
            <w:u w:val="single" w:color="auto"/>
            <w:color w:val="0000EE"/>
          </w:rPr>
          <w:t>Third Amendment Agreement, dated as of October 11, 2016, by</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and among ViaSat Technologies Limited, ViaSat, Inc.,</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JPMorgan Chase Bank, National Association (as Ex-Im Facility</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Agent) and the Export-Import Bank of the United States</w:t>
        </w:r>
      </w:hyperlink>
    </w:p>
    <w:p>
      <w:pPr>
        <w:spacing w:after="0" w:line="108" w:lineRule="exact"/>
        <w:rPr>
          <w:rFonts w:ascii="Arial" w:cs="Arial" w:eastAsia="Arial" w:hAnsi="Arial"/>
          <w:sz w:val="16"/>
          <w:szCs w:val="16"/>
          <w:u w:val="single" w:color="auto"/>
          <w:color w:val="0000EE"/>
        </w:rPr>
      </w:pPr>
    </w:p>
    <w:p>
      <w:pPr>
        <w:jc w:val="both"/>
        <w:ind w:left="780" w:right="180" w:hanging="765"/>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10.11.4</w:t>
      </w:r>
      <w:r>
        <w:rPr>
          <w:sz w:val="20"/>
          <w:szCs w:val="20"/>
          <w:color w:val="auto"/>
        </w:rPr>
        <w:tab/>
      </w:r>
      <w:hyperlink r:id="rId107">
        <w:r>
          <w:rPr>
            <w:rFonts w:ascii="Arial" w:cs="Arial" w:eastAsia="Arial" w:hAnsi="Arial"/>
            <w:sz w:val="16"/>
            <w:szCs w:val="16"/>
            <w:u w:val="single" w:color="auto"/>
            <w:color w:val="0000EE"/>
          </w:rPr>
          <w:t>Fourth Amendment to Credit Agreement, dated as of July 17,</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2018, by and among Viasat Technologies Limited, Viasat, Inc.,</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JPMorgan Chase Bank, National Association (as Ex-Im Facility</w:t>
        </w:r>
      </w:hyperlink>
      <w:r>
        <w:rPr>
          <w:rFonts w:ascii="Arial" w:cs="Arial" w:eastAsia="Arial" w:hAnsi="Arial"/>
          <w:sz w:val="16"/>
          <w:szCs w:val="16"/>
          <w:u w:val="single" w:color="auto"/>
          <w:color w:val="0000EE"/>
        </w:rPr>
        <w:t xml:space="preserve"> </w:t>
      </w:r>
      <w:hyperlink r:id="rId107">
        <w:r>
          <w:rPr>
            <w:rFonts w:ascii="Arial" w:cs="Arial" w:eastAsia="Arial" w:hAnsi="Arial"/>
            <w:sz w:val="16"/>
            <w:szCs w:val="16"/>
            <w:u w:val="single" w:color="auto"/>
            <w:color w:val="0000EE"/>
          </w:rPr>
          <w:t>Agent) and the Export-Import Bank of the United States</w:t>
        </w:r>
      </w:hyperlink>
    </w:p>
    <w:p>
      <w:pPr>
        <w:spacing w:after="0" w:line="108" w:lineRule="exact"/>
        <w:rPr>
          <w:rFonts w:ascii="Arial" w:cs="Arial" w:eastAsia="Arial" w:hAnsi="Arial"/>
          <w:sz w:val="16"/>
          <w:szCs w:val="16"/>
          <w:u w:val="single" w:color="auto"/>
          <w:color w:val="0000EE"/>
        </w:rPr>
      </w:pPr>
    </w:p>
    <w:p>
      <w:pPr>
        <w:jc w:val="both"/>
        <w:ind w:left="780" w:right="100" w:hanging="765"/>
        <w:spacing w:after="0" w:line="251"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10.11.5</w:t>
      </w:r>
      <w:r>
        <w:rPr>
          <w:sz w:val="20"/>
          <w:szCs w:val="20"/>
          <w:color w:val="auto"/>
        </w:rPr>
        <w:tab/>
      </w:r>
      <w:hyperlink r:id="rId108">
        <w:r>
          <w:rPr>
            <w:rFonts w:ascii="Arial" w:cs="Arial" w:eastAsia="Arial" w:hAnsi="Arial"/>
            <w:sz w:val="16"/>
            <w:szCs w:val="16"/>
            <w:u w:val="single" w:color="auto"/>
            <w:color w:val="0000EE"/>
          </w:rPr>
          <w:t>Fifth Amendment Agreement, dated as of February 28, 2019, by</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and among Viasat Technologies Limited, Viasat, Inc., JPMorgan</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Chase Bank, National Association (as Ex-Im Facility Agent) and</w:t>
        </w:r>
      </w:hyperlink>
      <w:r>
        <w:rPr>
          <w:rFonts w:ascii="Arial" w:cs="Arial" w:eastAsia="Arial" w:hAnsi="Arial"/>
          <w:sz w:val="16"/>
          <w:szCs w:val="16"/>
          <w:u w:val="single" w:color="auto"/>
          <w:color w:val="0000EE"/>
        </w:rPr>
        <w:t xml:space="preserve"> </w:t>
      </w:r>
      <w:hyperlink r:id="rId108">
        <w:r>
          <w:rPr>
            <w:rFonts w:ascii="Arial" w:cs="Arial" w:eastAsia="Arial" w:hAnsi="Arial"/>
            <w:sz w:val="16"/>
            <w:szCs w:val="16"/>
            <w:u w:val="single" w:color="auto"/>
            <w:color w:val="0000EE"/>
          </w:rPr>
          <w:t>the Export-Import Bank of the United States</w:t>
        </w:r>
      </w:hyperlink>
    </w:p>
    <w:p>
      <w:pPr>
        <w:spacing w:after="0" w:line="108" w:lineRule="exact"/>
        <w:rPr>
          <w:rFonts w:ascii="Arial" w:cs="Arial" w:eastAsia="Arial" w:hAnsi="Arial"/>
          <w:sz w:val="16"/>
          <w:szCs w:val="16"/>
          <w:u w:val="single" w:color="auto"/>
          <w:color w:val="0000EE"/>
        </w:rPr>
      </w:pPr>
    </w:p>
    <w:p>
      <w:pPr>
        <w:ind w:left="60"/>
        <w:spacing w:after="0"/>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10.12*</w:t>
      </w:r>
      <w:r>
        <w:rPr>
          <w:sz w:val="20"/>
          <w:szCs w:val="20"/>
          <w:color w:val="auto"/>
        </w:rPr>
        <w:tab/>
      </w:r>
      <w:hyperlink r:id="rId109">
        <w:r>
          <w:rPr>
            <w:rFonts w:ascii="Arial" w:cs="Arial" w:eastAsia="Arial" w:hAnsi="Arial"/>
            <w:sz w:val="16"/>
            <w:szCs w:val="16"/>
            <w:u w:val="single" w:color="auto"/>
            <w:color w:val="0000EE"/>
          </w:rPr>
          <w:t>RigNet, Inc. 2010 Omnibus Incentive Plan</w:t>
        </w:r>
      </w:hyperlink>
    </w:p>
    <w:p>
      <w:pPr>
        <w:spacing w:after="0" w:line="19" w:lineRule="exact"/>
        <w:rPr>
          <w:rFonts w:ascii="Arial" w:cs="Arial" w:eastAsia="Arial" w:hAnsi="Arial"/>
          <w:sz w:val="16"/>
          <w:szCs w:val="16"/>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10.12.1*</w:t>
      </w:r>
      <w:r>
        <w:rPr>
          <w:sz w:val="20"/>
          <w:szCs w:val="20"/>
          <w:color w:val="auto"/>
        </w:rPr>
        <w:tab/>
      </w:r>
      <w:hyperlink r:id="rId110">
        <w:r>
          <w:rPr>
            <w:rFonts w:ascii="Arial" w:cs="Arial" w:eastAsia="Arial" w:hAnsi="Arial"/>
            <w:sz w:val="16"/>
            <w:szCs w:val="16"/>
            <w:u w:val="single" w:color="auto"/>
            <w:color w:val="0000EE"/>
          </w:rPr>
          <w:t>Amendment to RigNet, Inc. 2010 Omnibus Incentive Plan</w:t>
        </w:r>
      </w:hyperlink>
    </w:p>
    <w:p>
      <w:pPr>
        <w:spacing w:after="0" w:line="140" w:lineRule="exact"/>
        <w:rPr>
          <w:rFonts w:ascii="Arial" w:cs="Arial" w:eastAsia="Arial" w:hAnsi="Arial"/>
          <w:sz w:val="16"/>
          <w:szCs w:val="16"/>
          <w:u w:val="single" w:color="auto"/>
          <w:color w:val="0000EE"/>
        </w:rPr>
      </w:pPr>
    </w:p>
    <w:p>
      <w:pPr>
        <w:ind w:left="60"/>
        <w:spacing w:after="0"/>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10.13*</w:t>
      </w:r>
      <w:r>
        <w:rPr>
          <w:sz w:val="20"/>
          <w:szCs w:val="20"/>
          <w:color w:val="auto"/>
        </w:rPr>
        <w:tab/>
      </w:r>
      <w:hyperlink r:id="rId111">
        <w:r>
          <w:rPr>
            <w:rFonts w:ascii="Arial" w:cs="Arial" w:eastAsia="Arial" w:hAnsi="Arial"/>
            <w:sz w:val="16"/>
            <w:szCs w:val="16"/>
            <w:u w:val="single" w:color="auto"/>
            <w:color w:val="0000EE"/>
          </w:rPr>
          <w:t>RigNet, Inc. 2019 Omnibus Incentive Plan</w:t>
        </w:r>
      </w:hyperlink>
    </w:p>
    <w:p>
      <w:pPr>
        <w:spacing w:after="0" w:line="140" w:lineRule="exact"/>
        <w:rPr>
          <w:rFonts w:ascii="Arial" w:cs="Arial" w:eastAsia="Arial" w:hAnsi="Arial"/>
          <w:sz w:val="16"/>
          <w:szCs w:val="16"/>
          <w:u w:val="single" w:color="auto"/>
          <w:color w:val="0000EE"/>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10.13.1*</w:t>
      </w:r>
      <w:r>
        <w:rPr>
          <w:sz w:val="20"/>
          <w:szCs w:val="20"/>
          <w:color w:val="auto"/>
        </w:rPr>
        <w:tab/>
      </w:r>
      <w:hyperlink r:id="rId112">
        <w:r>
          <w:rPr>
            <w:rFonts w:ascii="Arial" w:cs="Arial" w:eastAsia="Arial" w:hAnsi="Arial"/>
            <w:sz w:val="16"/>
            <w:szCs w:val="16"/>
            <w:u w:val="single" w:color="auto"/>
            <w:color w:val="0000EE"/>
          </w:rPr>
          <w:t>Amendment to RigNet, Inc. 2019 Omnibus Incentive Plan</w:t>
        </w:r>
      </w:hyperlink>
    </w:p>
    <w:p>
      <w:pPr>
        <w:spacing w:after="0" w:line="140" w:lineRule="exact"/>
        <w:rPr>
          <w:rFonts w:ascii="Arial" w:cs="Arial" w:eastAsia="Arial" w:hAnsi="Arial"/>
          <w:sz w:val="16"/>
          <w:szCs w:val="16"/>
          <w:u w:val="single" w:color="auto"/>
          <w:color w:val="0000EE"/>
        </w:rPr>
      </w:pPr>
    </w:p>
    <w:p>
      <w:pPr>
        <w:ind w:left="780" w:right="240" w:hanging="729"/>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10.14*</w:t>
      </w:r>
      <w:r>
        <w:rPr>
          <w:sz w:val="20"/>
          <w:szCs w:val="20"/>
          <w:color w:val="auto"/>
        </w:rPr>
        <w:tab/>
      </w:r>
      <w:hyperlink r:id="rId113">
        <w:r>
          <w:rPr>
            <w:rFonts w:ascii="Arial" w:cs="Arial" w:eastAsia="Arial" w:hAnsi="Arial"/>
            <w:sz w:val="16"/>
            <w:szCs w:val="16"/>
            <w:u w:val="single" w:color="auto"/>
            <w:color w:val="0000EE"/>
          </w:rPr>
          <w:t>Nonqualified Stock Option Award Agreement, by and between</w:t>
        </w:r>
      </w:hyperlink>
      <w:r>
        <w:rPr>
          <w:rFonts w:ascii="Arial" w:cs="Arial" w:eastAsia="Arial" w:hAnsi="Arial"/>
          <w:sz w:val="16"/>
          <w:szCs w:val="16"/>
          <w:u w:val="single" w:color="auto"/>
          <w:color w:val="0000EE"/>
        </w:rPr>
        <w:t xml:space="preserve"> </w:t>
      </w:r>
      <w:hyperlink r:id="rId113">
        <w:r>
          <w:rPr>
            <w:rFonts w:ascii="Arial" w:cs="Arial" w:eastAsia="Arial" w:hAnsi="Arial"/>
            <w:sz w:val="16"/>
            <w:szCs w:val="16"/>
            <w:u w:val="single" w:color="auto"/>
            <w:color w:val="0000EE"/>
          </w:rPr>
          <w:t>RigNet, Inc. and Errol Olivier, effective as of January 8, 2020</w:t>
        </w:r>
      </w:hyperlink>
    </w:p>
    <w:p>
      <w:pPr>
        <w:spacing w:after="0" w:line="101" w:lineRule="exact"/>
        <w:rPr>
          <w:sz w:val="20"/>
          <w:szCs w:val="20"/>
          <w:color w:val="auto"/>
        </w:rPr>
      </w:pPr>
    </w:p>
    <w:p>
      <w:pPr>
        <w:ind w:left="780" w:right="360" w:hanging="729"/>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10.15*</w:t>
      </w:r>
      <w:r>
        <w:rPr>
          <w:sz w:val="20"/>
          <w:szCs w:val="20"/>
          <w:color w:val="auto"/>
        </w:rPr>
        <w:tab/>
      </w:r>
      <w:hyperlink r:id="rId114">
        <w:r>
          <w:rPr>
            <w:rFonts w:ascii="Arial" w:cs="Arial" w:eastAsia="Arial" w:hAnsi="Arial"/>
            <w:sz w:val="16"/>
            <w:szCs w:val="16"/>
            <w:u w:val="single" w:color="auto"/>
            <w:color w:val="0000EE"/>
          </w:rPr>
          <w:t>Restricted Stock Unit Award Agreement, by and between</w:t>
        </w:r>
      </w:hyperlink>
      <w:r>
        <w:rPr>
          <w:rFonts w:ascii="Arial" w:cs="Arial" w:eastAsia="Arial" w:hAnsi="Arial"/>
          <w:sz w:val="16"/>
          <w:szCs w:val="16"/>
          <w:u w:val="single" w:color="auto"/>
          <w:color w:val="0000EE"/>
        </w:rPr>
        <w:t xml:space="preserve"> </w:t>
      </w:r>
      <w:hyperlink r:id="rId114">
        <w:r>
          <w:rPr>
            <w:rFonts w:ascii="Arial" w:cs="Arial" w:eastAsia="Arial" w:hAnsi="Arial"/>
            <w:sz w:val="16"/>
            <w:szCs w:val="16"/>
            <w:u w:val="single" w:color="auto"/>
            <w:color w:val="0000EE"/>
          </w:rPr>
          <w:t>RigNet, Inc. and Errol Olivier, effective as of January 8, 2020</w:t>
        </w:r>
      </w:hyperlink>
    </w:p>
    <w:p>
      <w:pPr>
        <w:spacing w:after="0" w:line="101" w:lineRule="exact"/>
        <w:rPr>
          <w:sz w:val="20"/>
          <w:szCs w:val="20"/>
          <w:color w:val="auto"/>
        </w:rPr>
      </w:pPr>
    </w:p>
    <w:p>
      <w:pPr>
        <w:ind w:left="140"/>
        <w:spacing w:after="0"/>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21.1</w:t>
      </w:r>
      <w:r>
        <w:rPr>
          <w:sz w:val="20"/>
          <w:szCs w:val="20"/>
          <w:color w:val="auto"/>
        </w:rPr>
        <w:tab/>
      </w:r>
      <w:hyperlink w:anchor="page109">
        <w:r>
          <w:rPr>
            <w:rFonts w:ascii="Arial" w:cs="Arial" w:eastAsia="Arial" w:hAnsi="Arial"/>
            <w:sz w:val="16"/>
            <w:szCs w:val="16"/>
            <w:u w:val="single" w:color="auto"/>
            <w:color w:val="0000EE"/>
          </w:rPr>
          <w:t>Subsidiaries</w:t>
        </w:r>
      </w:hyperlink>
    </w:p>
    <w:p>
      <w:pPr>
        <w:spacing w:after="0" w:line="127" w:lineRule="exact"/>
        <w:rPr>
          <w:sz w:val="20"/>
          <w:szCs w:val="20"/>
          <w:color w:val="auto"/>
        </w:rPr>
      </w:pPr>
    </w:p>
    <w:p>
      <w:pPr>
        <w:ind w:left="780" w:right="740" w:hanging="717"/>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23.1</w:t>
      </w:r>
      <w:r>
        <w:rPr>
          <w:sz w:val="20"/>
          <w:szCs w:val="20"/>
          <w:color w:val="auto"/>
        </w:rPr>
        <w:tab/>
      </w:r>
      <w:hyperlink w:anchor="page112">
        <w:r>
          <w:rPr>
            <w:rFonts w:ascii="Arial" w:cs="Arial" w:eastAsia="Arial" w:hAnsi="Arial"/>
            <w:sz w:val="16"/>
            <w:szCs w:val="16"/>
            <w:u w:val="single" w:color="auto"/>
            <w:color w:val="0000EE"/>
          </w:rPr>
          <w:t>Consent of PricewaterhouseCoopers LLP, Independent</w:t>
        </w:r>
      </w:hyperlink>
      <w:r>
        <w:rPr>
          <w:rFonts w:ascii="Arial" w:cs="Arial" w:eastAsia="Arial" w:hAnsi="Arial"/>
          <w:sz w:val="16"/>
          <w:szCs w:val="16"/>
          <w:u w:val="single" w:color="auto"/>
          <w:color w:val="0000EE"/>
        </w:rPr>
        <w:t xml:space="preserve"> </w:t>
      </w:r>
      <w:hyperlink w:anchor="page112">
        <w:r>
          <w:rPr>
            <w:rFonts w:ascii="Arial" w:cs="Arial" w:eastAsia="Arial" w:hAnsi="Arial"/>
            <w:sz w:val="16"/>
            <w:szCs w:val="16"/>
            <w:u w:val="single" w:color="auto"/>
            <w:color w:val="0000EE"/>
          </w:rPr>
          <w:t>Registered Public Accounting Firm</w:t>
        </w:r>
      </w:hyperlink>
    </w:p>
    <w:p>
      <w:pPr>
        <w:spacing w:after="0" w:line="101" w:lineRule="exact"/>
        <w:rPr>
          <w:sz w:val="20"/>
          <w:szCs w:val="20"/>
          <w:color w:val="auto"/>
        </w:rPr>
      </w:pPr>
    </w:p>
    <w:p>
      <w:pPr>
        <w:ind w:left="140"/>
        <w:spacing w:after="0"/>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24.1</w:t>
      </w:r>
      <w:r>
        <w:rPr>
          <w:sz w:val="20"/>
          <w:szCs w:val="20"/>
          <w:color w:val="auto"/>
        </w:rPr>
        <w:tab/>
      </w:r>
      <w:hyperlink w:anchor="page64">
        <w:r>
          <w:rPr>
            <w:rFonts w:ascii="Arial" w:cs="Arial" w:eastAsia="Arial" w:hAnsi="Arial"/>
            <w:sz w:val="16"/>
            <w:szCs w:val="16"/>
            <w:u w:val="single" w:color="auto"/>
            <w:color w:val="0000EE"/>
          </w:rPr>
          <w:t>Power of Attorney (see signature page)</w:t>
        </w:r>
      </w:hyperlink>
    </w:p>
    <w:p>
      <w:pPr>
        <w:spacing w:after="0" w:line="127" w:lineRule="exact"/>
        <w:rPr>
          <w:sz w:val="20"/>
          <w:szCs w:val="20"/>
          <w:color w:val="auto"/>
        </w:rPr>
      </w:pPr>
    </w:p>
    <w:p>
      <w:pPr>
        <w:ind w:left="780" w:right="120" w:hanging="652"/>
        <w:spacing w:after="0" w:line="260" w:lineRule="auto"/>
        <w:tabs>
          <w:tab w:leader="none" w:pos="760" w:val="left"/>
        </w:tabs>
        <w:rPr>
          <w:rFonts w:ascii="Arial" w:cs="Arial" w:eastAsia="Arial" w:hAnsi="Arial"/>
          <w:sz w:val="16"/>
          <w:szCs w:val="16"/>
          <w:u w:val="single" w:color="auto"/>
          <w:color w:val="0000EE"/>
        </w:rPr>
      </w:pPr>
      <w:r>
        <w:rPr>
          <w:rFonts w:ascii="Arial" w:cs="Arial" w:eastAsia="Arial" w:hAnsi="Arial"/>
          <w:sz w:val="16"/>
          <w:szCs w:val="16"/>
          <w:color w:val="auto"/>
        </w:rPr>
        <w:t>31.1</w:t>
      </w:r>
      <w:r>
        <w:rPr>
          <w:sz w:val="20"/>
          <w:szCs w:val="20"/>
          <w:color w:val="auto"/>
        </w:rPr>
        <w:tab/>
      </w:r>
      <w:hyperlink w:anchor="page113">
        <w:r>
          <w:rPr>
            <w:rFonts w:ascii="Arial" w:cs="Arial" w:eastAsia="Arial" w:hAnsi="Arial"/>
            <w:sz w:val="16"/>
            <w:szCs w:val="16"/>
            <w:u w:val="single" w:color="auto"/>
            <w:color w:val="0000EE"/>
          </w:rPr>
          <w:t>Certification Pursuant to Section 302 of the Sarbanes-Oxley Act</w:t>
        </w:r>
      </w:hyperlink>
      <w:r>
        <w:rPr>
          <w:rFonts w:ascii="Arial" w:cs="Arial" w:eastAsia="Arial" w:hAnsi="Arial"/>
          <w:sz w:val="16"/>
          <w:szCs w:val="16"/>
          <w:u w:val="single" w:color="auto"/>
          <w:color w:val="0000EE"/>
        </w:rPr>
        <w:t xml:space="preserve"> </w:t>
      </w:r>
      <w:hyperlink w:anchor="page113">
        <w:r>
          <w:rPr>
            <w:rFonts w:ascii="Arial" w:cs="Arial" w:eastAsia="Arial" w:hAnsi="Arial"/>
            <w:sz w:val="16"/>
            <w:szCs w:val="16"/>
            <w:u w:val="single" w:color="auto"/>
            <w:color w:val="0000EE"/>
          </w:rPr>
          <w:t>of 2002 of Chief Executive Officer</w:t>
        </w:r>
      </w:hyperlink>
    </w:p>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6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Incorporated by Reference</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39"/>
        </w:trPr>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Form</w:t>
            </w:r>
          </w:p>
        </w:tc>
        <w:tc>
          <w:tcPr>
            <w:tcW w:w="120" w:type="dxa"/>
            <w:vAlign w:val="bottom"/>
          </w:tcPr>
          <w:p>
            <w:pPr>
              <w:spacing w:after="0"/>
              <w:rPr>
                <w:sz w:val="10"/>
                <w:szCs w:val="10"/>
                <w:color w:val="auto"/>
              </w:rPr>
            </w:pPr>
          </w:p>
        </w:tc>
        <w:tc>
          <w:tcPr>
            <w:tcW w:w="10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File No.</w:t>
            </w:r>
          </w:p>
        </w:tc>
        <w:tc>
          <w:tcPr>
            <w:tcW w:w="140" w:type="dxa"/>
            <w:vAlign w:val="bottom"/>
          </w:tcPr>
          <w:p>
            <w:pPr>
              <w:spacing w:after="0"/>
              <w:rPr>
                <w:sz w:val="10"/>
                <w:szCs w:val="10"/>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4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Filing Date</w:t>
            </w:r>
          </w:p>
        </w:tc>
        <w:tc>
          <w:tcPr>
            <w:tcW w:w="14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47"/>
        </w:trPr>
        <w:tc>
          <w:tcPr>
            <w:tcW w:w="16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477"/>
        </w:trPr>
        <w:tc>
          <w:tcPr>
            <w:tcW w:w="1620" w:type="dxa"/>
            <w:vAlign w:val="bottom"/>
          </w:tcPr>
          <w:p>
            <w:pPr>
              <w:jc w:val="center"/>
              <w:spacing w:after="0"/>
              <w:rPr>
                <w:sz w:val="20"/>
                <w:szCs w:val="20"/>
                <w:color w:val="auto"/>
              </w:rPr>
            </w:pPr>
            <w:r>
              <w:rPr>
                <w:rFonts w:ascii="Arial" w:cs="Arial" w:eastAsia="Arial" w:hAnsi="Arial"/>
                <w:sz w:val="16"/>
                <w:szCs w:val="16"/>
                <w:color w:val="auto"/>
              </w:rPr>
              <w:t>10-Q</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08/10/2015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03/24/2016</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10/12/2016</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07/23/2018</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620" w:type="dxa"/>
            <w:vAlign w:val="bottom"/>
          </w:tcPr>
          <w:p>
            <w:pPr>
              <w:jc w:val="center"/>
              <w:spacing w:after="0"/>
              <w:rPr>
                <w:sz w:val="20"/>
                <w:szCs w:val="20"/>
                <w:color w:val="auto"/>
              </w:rPr>
            </w:pPr>
            <w:r>
              <w:rPr>
                <w:rFonts w:ascii="Arial" w:cs="Arial" w:eastAsia="Arial" w:hAnsi="Arial"/>
                <w:sz w:val="16"/>
                <w:szCs w:val="16"/>
                <w:color w:val="auto"/>
              </w:rPr>
              <w:t>8-K</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000-21767</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10.1</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02/28/2019</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8"/>
        </w:trPr>
        <w:tc>
          <w:tcPr>
            <w:tcW w:w="162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333-255690</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10.3</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04/30/2021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2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333-255690</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10.4</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04/30/2021</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62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333-255690</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10.5</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04/30/2021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2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333-255690</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10.6</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04/30/2021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2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333-255690</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10.7</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04/30/2021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620" w:type="dxa"/>
            <w:vAlign w:val="bottom"/>
          </w:tcPr>
          <w:p>
            <w:pPr>
              <w:jc w:val="center"/>
              <w:spacing w:after="0"/>
              <w:rPr>
                <w:sz w:val="20"/>
                <w:szCs w:val="20"/>
                <w:color w:val="auto"/>
              </w:rPr>
            </w:pPr>
            <w:r>
              <w:rPr>
                <w:rFonts w:ascii="Arial" w:cs="Arial" w:eastAsia="Arial" w:hAnsi="Arial"/>
                <w:sz w:val="16"/>
                <w:szCs w:val="16"/>
                <w:color w:val="auto"/>
              </w:rPr>
              <w:t>S-8</w:t>
            </w:r>
          </w:p>
        </w:tc>
        <w:tc>
          <w:tcPr>
            <w:tcW w:w="1140" w:type="dxa"/>
            <w:vAlign w:val="bottom"/>
            <w:gridSpan w:val="2"/>
          </w:tcPr>
          <w:p>
            <w:pPr>
              <w:jc w:val="center"/>
              <w:ind w:left="41"/>
              <w:spacing w:after="0"/>
              <w:rPr>
                <w:sz w:val="20"/>
                <w:szCs w:val="20"/>
                <w:color w:val="auto"/>
              </w:rPr>
            </w:pPr>
            <w:r>
              <w:rPr>
                <w:rFonts w:ascii="Arial" w:cs="Arial" w:eastAsia="Arial" w:hAnsi="Arial"/>
                <w:sz w:val="16"/>
                <w:szCs w:val="16"/>
                <w:color w:val="auto"/>
              </w:rPr>
              <w:t>333-255690</w:t>
            </w:r>
          </w:p>
        </w:tc>
        <w:tc>
          <w:tcPr>
            <w:tcW w:w="760" w:type="dxa"/>
            <w:vAlign w:val="bottom"/>
            <w:gridSpan w:val="2"/>
          </w:tcPr>
          <w:p>
            <w:pPr>
              <w:jc w:val="center"/>
              <w:ind w:left="59"/>
              <w:spacing w:after="0"/>
              <w:rPr>
                <w:sz w:val="20"/>
                <w:szCs w:val="20"/>
                <w:color w:val="auto"/>
              </w:rPr>
            </w:pPr>
            <w:r>
              <w:rPr>
                <w:rFonts w:ascii="Arial" w:cs="Arial" w:eastAsia="Arial" w:hAnsi="Arial"/>
                <w:sz w:val="16"/>
                <w:szCs w:val="16"/>
                <w:color w:val="auto"/>
                <w:w w:val="96"/>
              </w:rPr>
              <w:t>10.8</w:t>
            </w:r>
          </w:p>
        </w:tc>
        <w:tc>
          <w:tcPr>
            <w:tcW w:w="1200" w:type="dxa"/>
            <w:vAlign w:val="bottom"/>
            <w:gridSpan w:val="2"/>
          </w:tcPr>
          <w:p>
            <w:pPr>
              <w:jc w:val="center"/>
              <w:ind w:left="59"/>
              <w:spacing w:after="0"/>
              <w:rPr>
                <w:sz w:val="20"/>
                <w:szCs w:val="20"/>
                <w:color w:val="auto"/>
              </w:rPr>
            </w:pPr>
            <w:r>
              <w:rPr>
                <w:rFonts w:ascii="Arial" w:cs="Arial" w:eastAsia="Arial" w:hAnsi="Arial"/>
                <w:sz w:val="16"/>
                <w:szCs w:val="16"/>
                <w:color w:val="auto"/>
              </w:rPr>
              <w:t>04/30/2021</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05"/>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5480" w:space="60"/>
            <w:col w:w="5460"/>
          </w:cols>
          <w:pgMar w:left="560" w:top="128" w:right="339" w:bottom="1440" w:gutter="0" w:footer="0" w:header="0"/>
        </w:sectPr>
      </w:pPr>
    </w:p>
    <w:bookmarkStart w:id="62" w:name="page63"/>
    <w:bookmarkEnd w:id="62"/>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0" w:type="dxa"/>
            <w:vAlign w:val="bottom"/>
            <w:tcBorders>
              <w:bottom w:val="single" w:sz="8" w:color="auto"/>
            </w:tcBorders>
            <w:gridSpan w:val="5"/>
          </w:tcPr>
          <w:p>
            <w:pPr>
              <w:ind w:left="1760"/>
              <w:spacing w:after="0"/>
              <w:rPr>
                <w:sz w:val="20"/>
                <w:szCs w:val="20"/>
                <w:color w:val="auto"/>
              </w:rPr>
            </w:pPr>
            <w:r>
              <w:rPr>
                <w:rFonts w:ascii="Arial" w:cs="Arial" w:eastAsia="Arial" w:hAnsi="Arial"/>
                <w:sz w:val="12"/>
                <w:szCs w:val="12"/>
                <w:b w:val="1"/>
                <w:bCs w:val="1"/>
                <w:color w:val="auto"/>
              </w:rPr>
              <w:t>Exhibit Description</w:t>
            </w:r>
          </w:p>
        </w:tc>
      </w:tr>
      <w:tr>
        <w:trPr>
          <w:trHeight w:val="442"/>
        </w:trPr>
        <w:tc>
          <w:tcPr>
            <w:tcW w:w="920" w:type="dxa"/>
            <w:vAlign w:val="bottom"/>
          </w:tcPr>
          <w:p>
            <w:pPr>
              <w:jc w:val="center"/>
              <w:ind w:left="64"/>
              <w:spacing w:after="0"/>
              <w:rPr>
                <w:sz w:val="20"/>
                <w:szCs w:val="20"/>
                <w:color w:val="auto"/>
              </w:rPr>
            </w:pPr>
            <w:r>
              <w:rPr>
                <w:rFonts w:ascii="Arial" w:cs="Arial" w:eastAsia="Arial" w:hAnsi="Arial"/>
                <w:sz w:val="16"/>
                <w:szCs w:val="16"/>
                <w:color w:val="auto"/>
                <w:w w:val="96"/>
              </w:rPr>
              <w:t>31.2</w:t>
            </w:r>
          </w:p>
        </w:tc>
        <w:tc>
          <w:tcPr>
            <w:tcW w:w="100" w:type="dxa"/>
            <w:vAlign w:val="bottom"/>
          </w:tcPr>
          <w:p>
            <w:pPr>
              <w:spacing w:after="0"/>
              <w:rPr>
                <w:sz w:val="24"/>
                <w:szCs w:val="24"/>
                <w:color w:val="auto"/>
              </w:rPr>
            </w:pPr>
          </w:p>
        </w:tc>
        <w:tc>
          <w:tcPr>
            <w:tcW w:w="4580" w:type="dxa"/>
            <w:vAlign w:val="bottom"/>
            <w:tcBorders>
              <w:bottom w:val="single" w:sz="8" w:color="0000EE"/>
            </w:tcBorders>
            <w:gridSpan w:val="5"/>
          </w:tcPr>
          <w:p>
            <w:pPr>
              <w:spacing w:after="0"/>
              <w:rPr>
                <w:rFonts w:ascii="Arial" w:cs="Arial" w:eastAsia="Arial" w:hAnsi="Arial"/>
                <w:sz w:val="16"/>
                <w:szCs w:val="16"/>
                <w:color w:val="0000EE"/>
              </w:rPr>
            </w:pPr>
            <w:hyperlink w:anchor="page114">
              <w:r>
                <w:rPr>
                  <w:rFonts w:ascii="Arial" w:cs="Arial" w:eastAsia="Arial" w:hAnsi="Arial"/>
                  <w:sz w:val="16"/>
                  <w:szCs w:val="16"/>
                  <w:color w:val="0000EE"/>
                </w:rPr>
                <w:t>Certification Pursuant to Section 302 of the Sarbanes-Oxley Act</w:t>
              </w:r>
            </w:hyperlink>
          </w:p>
        </w:tc>
        <w:tc>
          <w:tcPr>
            <w:tcW w:w="6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40" w:type="dxa"/>
            <w:vAlign w:val="bottom"/>
            <w:gridSpan w:val="6"/>
          </w:tcPr>
          <w:p>
            <w:pPr>
              <w:spacing w:after="0" w:line="169" w:lineRule="exact"/>
              <w:rPr>
                <w:rFonts w:ascii="Arial" w:cs="Arial" w:eastAsia="Arial" w:hAnsi="Arial"/>
                <w:sz w:val="16"/>
                <w:szCs w:val="16"/>
                <w:color w:val="0000EE"/>
              </w:rPr>
            </w:pPr>
            <w:hyperlink w:anchor="page114">
              <w:r>
                <w:rPr>
                  <w:rFonts w:ascii="Arial" w:cs="Arial" w:eastAsia="Arial" w:hAnsi="Arial"/>
                  <w:sz w:val="16"/>
                  <w:szCs w:val="16"/>
                  <w:color w:val="0000EE"/>
                </w:rPr>
                <w:t>of 2002 of Chief Financial Officer</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91"/>
        </w:trPr>
        <w:tc>
          <w:tcPr>
            <w:tcW w:w="920" w:type="dxa"/>
            <w:vAlign w:val="bottom"/>
          </w:tcPr>
          <w:p>
            <w:pPr>
              <w:jc w:val="center"/>
              <w:ind w:left="64"/>
              <w:spacing w:after="0"/>
              <w:rPr>
                <w:sz w:val="20"/>
                <w:szCs w:val="20"/>
                <w:color w:val="auto"/>
              </w:rPr>
            </w:pPr>
            <w:r>
              <w:rPr>
                <w:rFonts w:ascii="Arial" w:cs="Arial" w:eastAsia="Arial" w:hAnsi="Arial"/>
                <w:sz w:val="16"/>
                <w:szCs w:val="16"/>
                <w:color w:val="auto"/>
                <w:w w:val="96"/>
              </w:rPr>
              <w:t>32.1</w:t>
            </w:r>
          </w:p>
        </w:tc>
        <w:tc>
          <w:tcPr>
            <w:tcW w:w="100" w:type="dxa"/>
            <w:vAlign w:val="bottom"/>
          </w:tcPr>
          <w:p>
            <w:pPr>
              <w:spacing w:after="0"/>
              <w:rPr>
                <w:sz w:val="24"/>
                <w:szCs w:val="24"/>
                <w:color w:val="auto"/>
              </w:rPr>
            </w:pPr>
          </w:p>
        </w:tc>
        <w:tc>
          <w:tcPr>
            <w:tcW w:w="4640" w:type="dxa"/>
            <w:vAlign w:val="bottom"/>
            <w:gridSpan w:val="6"/>
          </w:tcPr>
          <w:p>
            <w:pPr>
              <w:spacing w:after="0"/>
              <w:rPr>
                <w:rFonts w:ascii="Arial" w:cs="Arial" w:eastAsia="Arial" w:hAnsi="Arial"/>
                <w:sz w:val="16"/>
                <w:szCs w:val="16"/>
                <w:color w:val="0000EE"/>
              </w:rPr>
            </w:pPr>
            <w:hyperlink w:anchor="page115">
              <w:r>
                <w:rPr>
                  <w:rFonts w:ascii="Arial" w:cs="Arial" w:eastAsia="Arial" w:hAnsi="Arial"/>
                  <w:sz w:val="16"/>
                  <w:szCs w:val="16"/>
                  <w:color w:val="0000EE"/>
                </w:rPr>
                <w:t>Certifications Pursuant to 18 U.S.C. Section 1350, as Adopted</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115">
              <w:r>
                <w:rPr>
                  <w:rFonts w:ascii="Arial" w:cs="Arial" w:eastAsia="Arial" w:hAnsi="Arial"/>
                  <w:sz w:val="16"/>
                  <w:szCs w:val="16"/>
                  <w:color w:val="0000EE"/>
                </w:rPr>
                <w:t>Pursuant to Section 906 of the Sarbanes-Oxley Act of 2002</w:t>
              </w:r>
            </w:hyperlink>
          </w:p>
        </w:tc>
        <w:tc>
          <w:tcPr>
            <w:tcW w:w="200" w:type="dxa"/>
            <w:vAlign w:val="bottom"/>
            <w:tcBorders>
              <w:top w:val="single" w:sz="8" w:color="0000EE"/>
            </w:tcBorders>
          </w:tcPr>
          <w:p>
            <w:pPr>
              <w:spacing w:after="0"/>
              <w:rPr>
                <w:sz w:val="14"/>
                <w:szCs w:val="14"/>
                <w:color w:val="auto"/>
              </w:rPr>
            </w:pPr>
          </w:p>
        </w:tc>
        <w:tc>
          <w:tcPr>
            <w:tcW w:w="180" w:type="dxa"/>
            <w:vAlign w:val="bottom"/>
            <w:gridSpan w:val="2"/>
          </w:tcPr>
          <w:p>
            <w:pPr>
              <w:spacing w:after="0"/>
              <w:rPr>
                <w:sz w:val="14"/>
                <w:szCs w:val="14"/>
                <w:color w:val="auto"/>
              </w:rPr>
            </w:pPr>
          </w:p>
        </w:tc>
      </w:tr>
      <w:tr>
        <w:trPr>
          <w:trHeight w:val="319"/>
        </w:trPr>
        <w:tc>
          <w:tcPr>
            <w:tcW w:w="920" w:type="dxa"/>
            <w:vAlign w:val="bottom"/>
          </w:tcPr>
          <w:p>
            <w:pPr>
              <w:jc w:val="center"/>
              <w:ind w:left="64"/>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4640" w:type="dxa"/>
            <w:vAlign w:val="bottom"/>
            <w:gridSpan w:val="6"/>
          </w:tcPr>
          <w:p>
            <w:pPr>
              <w:spacing w:after="0"/>
              <w:rPr>
                <w:sz w:val="20"/>
                <w:szCs w:val="20"/>
                <w:color w:val="auto"/>
              </w:rPr>
            </w:pPr>
            <w:r>
              <w:rPr>
                <w:rFonts w:ascii="Arial" w:cs="Arial" w:eastAsia="Arial" w:hAnsi="Arial"/>
                <w:sz w:val="16"/>
                <w:szCs w:val="16"/>
                <w:color w:val="auto"/>
              </w:rPr>
              <w:t>Inline XBRL Instance Document - the instance document does</w:t>
            </w:r>
          </w:p>
        </w:tc>
      </w:tr>
      <w:tr>
        <w:trPr>
          <w:trHeight w:val="189"/>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gridSpan w:val="6"/>
          </w:tcPr>
          <w:p>
            <w:pPr>
              <w:spacing w:after="0"/>
              <w:rPr>
                <w:sz w:val="20"/>
                <w:szCs w:val="20"/>
                <w:color w:val="auto"/>
              </w:rPr>
            </w:pPr>
            <w:r>
              <w:rPr>
                <w:rFonts w:ascii="Arial" w:cs="Arial" w:eastAsia="Arial" w:hAnsi="Arial"/>
                <w:sz w:val="16"/>
                <w:szCs w:val="16"/>
                <w:color w:val="auto"/>
              </w:rPr>
              <w:t>not appear in the Interactive Data File because its XBRL tags</w:t>
            </w:r>
          </w:p>
        </w:tc>
      </w:tr>
      <w:tr>
        <w:trPr>
          <w:trHeight w:val="19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gridSpan w:val="6"/>
          </w:tcPr>
          <w:p>
            <w:pPr>
              <w:spacing w:after="0"/>
              <w:rPr>
                <w:sz w:val="20"/>
                <w:szCs w:val="20"/>
                <w:color w:val="auto"/>
              </w:rPr>
            </w:pPr>
            <w:r>
              <w:rPr>
                <w:rFonts w:ascii="Arial" w:cs="Arial" w:eastAsia="Arial" w:hAnsi="Arial"/>
                <w:sz w:val="16"/>
                <w:szCs w:val="16"/>
                <w:color w:val="auto"/>
              </w:rPr>
              <w:t>are embedded within the Inline XBRL document.</w:t>
            </w:r>
          </w:p>
        </w:tc>
      </w:tr>
      <w:tr>
        <w:trPr>
          <w:trHeight w:val="310"/>
        </w:trPr>
        <w:tc>
          <w:tcPr>
            <w:tcW w:w="920" w:type="dxa"/>
            <w:vAlign w:val="bottom"/>
          </w:tcPr>
          <w:p>
            <w:pPr>
              <w:jc w:val="center"/>
              <w:ind w:left="64"/>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4640" w:type="dxa"/>
            <w:vAlign w:val="bottom"/>
            <w:gridSpan w:val="6"/>
          </w:tcPr>
          <w:p>
            <w:pPr>
              <w:spacing w:after="0"/>
              <w:rPr>
                <w:sz w:val="20"/>
                <w:szCs w:val="20"/>
                <w:color w:val="auto"/>
              </w:rPr>
            </w:pPr>
            <w:r>
              <w:rPr>
                <w:rFonts w:ascii="Arial" w:cs="Arial" w:eastAsia="Arial" w:hAnsi="Arial"/>
                <w:sz w:val="16"/>
                <w:szCs w:val="16"/>
                <w:color w:val="auto"/>
              </w:rPr>
              <w:t>Inline XBRL Taxonomy Extension Schema</w:t>
            </w:r>
          </w:p>
        </w:tc>
      </w:tr>
      <w:tr>
        <w:trPr>
          <w:trHeight w:val="311"/>
        </w:trPr>
        <w:tc>
          <w:tcPr>
            <w:tcW w:w="920" w:type="dxa"/>
            <w:vAlign w:val="bottom"/>
          </w:tcPr>
          <w:p>
            <w:pPr>
              <w:jc w:val="center"/>
              <w:ind w:left="64"/>
              <w:spacing w:after="0"/>
              <w:rPr>
                <w:sz w:val="20"/>
                <w:szCs w:val="20"/>
                <w:color w:val="auto"/>
              </w:rPr>
            </w:pPr>
            <w:r>
              <w:rPr>
                <w:rFonts w:ascii="Arial" w:cs="Arial" w:eastAsia="Arial" w:hAnsi="Arial"/>
                <w:sz w:val="16"/>
                <w:szCs w:val="16"/>
                <w:color w:val="auto"/>
                <w:w w:val="99"/>
              </w:rPr>
              <w:t>101.CAL</w:t>
            </w:r>
          </w:p>
        </w:tc>
        <w:tc>
          <w:tcPr>
            <w:tcW w:w="100" w:type="dxa"/>
            <w:vAlign w:val="bottom"/>
          </w:tcPr>
          <w:p>
            <w:pPr>
              <w:spacing w:after="0"/>
              <w:rPr>
                <w:sz w:val="24"/>
                <w:szCs w:val="24"/>
                <w:color w:val="auto"/>
              </w:rPr>
            </w:pPr>
          </w:p>
        </w:tc>
        <w:tc>
          <w:tcPr>
            <w:tcW w:w="4640" w:type="dxa"/>
            <w:vAlign w:val="bottom"/>
            <w:gridSpan w:val="6"/>
          </w:tcPr>
          <w:p>
            <w:pPr>
              <w:spacing w:after="0"/>
              <w:rPr>
                <w:sz w:val="20"/>
                <w:szCs w:val="20"/>
                <w:color w:val="auto"/>
              </w:rPr>
            </w:pPr>
            <w:r>
              <w:rPr>
                <w:rFonts w:ascii="Arial" w:cs="Arial" w:eastAsia="Arial" w:hAnsi="Arial"/>
                <w:sz w:val="16"/>
                <w:szCs w:val="16"/>
                <w:color w:val="auto"/>
              </w:rPr>
              <w:t>Inline XBRL Taxonomy Extension Calculation Linkbase</w:t>
            </w:r>
          </w:p>
        </w:tc>
      </w:tr>
      <w:tr>
        <w:trPr>
          <w:trHeight w:val="310"/>
        </w:trPr>
        <w:tc>
          <w:tcPr>
            <w:tcW w:w="920" w:type="dxa"/>
            <w:vAlign w:val="bottom"/>
          </w:tcPr>
          <w:p>
            <w:pPr>
              <w:jc w:val="center"/>
              <w:ind w:left="84"/>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4640" w:type="dxa"/>
            <w:vAlign w:val="bottom"/>
            <w:gridSpan w:val="6"/>
          </w:tcPr>
          <w:p>
            <w:pPr>
              <w:spacing w:after="0"/>
              <w:rPr>
                <w:sz w:val="20"/>
                <w:szCs w:val="20"/>
                <w:color w:val="auto"/>
              </w:rPr>
            </w:pPr>
            <w:r>
              <w:rPr>
                <w:rFonts w:ascii="Arial" w:cs="Arial" w:eastAsia="Arial" w:hAnsi="Arial"/>
                <w:sz w:val="16"/>
                <w:szCs w:val="16"/>
                <w:color w:val="auto"/>
              </w:rPr>
              <w:t>Inline XBRL Taxonomy Extension Definition Linkbase</w:t>
            </w:r>
          </w:p>
        </w:tc>
      </w:tr>
      <w:tr>
        <w:trPr>
          <w:trHeight w:val="311"/>
        </w:trPr>
        <w:tc>
          <w:tcPr>
            <w:tcW w:w="920" w:type="dxa"/>
            <w:vAlign w:val="bottom"/>
          </w:tcPr>
          <w:p>
            <w:pPr>
              <w:jc w:val="center"/>
              <w:ind w:left="64"/>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4640" w:type="dxa"/>
            <w:vAlign w:val="bottom"/>
            <w:gridSpan w:val="6"/>
          </w:tcPr>
          <w:p>
            <w:pPr>
              <w:spacing w:after="0"/>
              <w:rPr>
                <w:sz w:val="20"/>
                <w:szCs w:val="20"/>
                <w:color w:val="auto"/>
              </w:rPr>
            </w:pPr>
            <w:r>
              <w:rPr>
                <w:rFonts w:ascii="Arial" w:cs="Arial" w:eastAsia="Arial" w:hAnsi="Arial"/>
                <w:sz w:val="16"/>
                <w:szCs w:val="16"/>
                <w:color w:val="auto"/>
              </w:rPr>
              <w:t>Inline XBRL Taxonomy Extension Labels Linkbase</w:t>
            </w:r>
          </w:p>
        </w:tc>
      </w:tr>
      <w:tr>
        <w:trPr>
          <w:trHeight w:val="311"/>
        </w:trPr>
        <w:tc>
          <w:tcPr>
            <w:tcW w:w="920" w:type="dxa"/>
            <w:vAlign w:val="bottom"/>
          </w:tcPr>
          <w:p>
            <w:pPr>
              <w:jc w:val="center"/>
              <w:ind w:left="64"/>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4640" w:type="dxa"/>
            <w:vAlign w:val="bottom"/>
            <w:gridSpan w:val="6"/>
          </w:tcPr>
          <w:p>
            <w:pPr>
              <w:spacing w:after="0"/>
              <w:rPr>
                <w:sz w:val="20"/>
                <w:szCs w:val="20"/>
                <w:color w:val="auto"/>
              </w:rPr>
            </w:pPr>
            <w:r>
              <w:rPr>
                <w:rFonts w:ascii="Arial" w:cs="Arial" w:eastAsia="Arial" w:hAnsi="Arial"/>
                <w:sz w:val="16"/>
                <w:szCs w:val="16"/>
                <w:color w:val="auto"/>
              </w:rPr>
              <w:t>Inline XBRL Taxonomy Extension Presentation Linkbase</w:t>
            </w:r>
          </w:p>
        </w:tc>
      </w:tr>
    </w:tbl>
    <w:p>
      <w:pPr>
        <w:spacing w:after="0" w:line="116" w:lineRule="exact"/>
        <w:rPr>
          <w:sz w:val="20"/>
          <w:szCs w:val="20"/>
          <w:color w:val="auto"/>
        </w:rPr>
      </w:pPr>
    </w:p>
    <w:p>
      <w:pPr>
        <w:ind w:left="1020" w:right="380" w:hanging="623"/>
        <w:spacing w:after="0" w:line="260" w:lineRule="auto"/>
        <w:tabs>
          <w:tab w:leader="none" w:pos="10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1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Indicates management contract,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9512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in paper.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 FORM 10-K SUMMARY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620" w:type="dxa"/>
            <w:vAlign w:val="bottom"/>
          </w:tcPr>
          <w:p>
            <w:pPr>
              <w:spacing w:after="0"/>
              <w:rPr>
                <w:sz w:val="13"/>
                <w:szCs w:val="13"/>
                <w:color w:val="auto"/>
              </w:rPr>
            </w:pPr>
          </w:p>
        </w:tc>
        <w:tc>
          <w:tcPr>
            <w:tcW w:w="2240" w:type="dxa"/>
            <w:vAlign w:val="bottom"/>
            <w:gridSpan w:val="4"/>
          </w:tcPr>
          <w:p>
            <w:pPr>
              <w:ind w:left="340"/>
              <w:spacing w:after="0"/>
              <w:rPr>
                <w:sz w:val="20"/>
                <w:szCs w:val="20"/>
                <w:color w:val="auto"/>
              </w:rPr>
            </w:pPr>
            <w:r>
              <w:rPr>
                <w:rFonts w:ascii="Arial" w:cs="Arial" w:eastAsia="Arial" w:hAnsi="Arial"/>
                <w:sz w:val="12"/>
                <w:szCs w:val="12"/>
                <w:b w:val="1"/>
                <w:bCs w:val="1"/>
                <w:color w:val="auto"/>
              </w:rPr>
              <w:t>Incorporated by Reference</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59"/>
        </w:trPr>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Form</w:t>
            </w:r>
          </w:p>
        </w:tc>
        <w:tc>
          <w:tcPr>
            <w:tcW w:w="460" w:type="dxa"/>
            <w:vAlign w:val="bottom"/>
          </w:tcPr>
          <w:p>
            <w:pPr>
              <w:spacing w:after="0"/>
              <w:rPr>
                <w:sz w:val="10"/>
                <w:szCs w:val="10"/>
                <w:color w:val="auto"/>
              </w:rPr>
            </w:pPr>
          </w:p>
        </w:tc>
        <w:tc>
          <w:tcPr>
            <w:tcW w:w="10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File No.</w:t>
            </w:r>
          </w:p>
        </w:tc>
        <w:tc>
          <w:tcPr>
            <w:tcW w:w="140" w:type="dxa"/>
            <w:vAlign w:val="bottom"/>
          </w:tcPr>
          <w:p>
            <w:pPr>
              <w:spacing w:after="0"/>
              <w:rPr>
                <w:sz w:val="10"/>
                <w:szCs w:val="10"/>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10"/>
                <w:szCs w:val="10"/>
                <w:color w:val="auto"/>
              </w:rPr>
            </w:pPr>
          </w:p>
        </w:tc>
        <w:tc>
          <w:tcPr>
            <w:tcW w:w="10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Filing Date</w:t>
            </w:r>
          </w:p>
        </w:tc>
        <w:tc>
          <w:tcPr>
            <w:tcW w:w="140" w:type="dxa"/>
            <w:vAlign w:val="bottom"/>
            <w:vMerge w:val="restart"/>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47"/>
        </w:trPr>
        <w:tc>
          <w:tcPr>
            <w:tcW w:w="6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-213995</wp:posOffset>
            </wp:positionV>
            <wp:extent cx="29914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8">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-7620</wp:posOffset>
            </wp:positionV>
            <wp:extent cx="10204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9">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26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pacing w:after="0" w:line="316"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30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pacing w:after="0" w:line="127"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5960" w:space="480"/>
            <w:col w:w="4800"/>
          </w:cols>
          <w:pgMar w:left="320" w:top="128" w:right="33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79" w:lineRule="exact"/>
        <w:rPr>
          <w:sz w:val="20"/>
          <w:szCs w:val="20"/>
          <w:color w:val="auto"/>
        </w:rPr>
      </w:pPr>
    </w:p>
    <w:p>
      <w:pPr>
        <w:ind w:right="140" w:firstLine="51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24688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158"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Richard Baldridge and Shawn Duffy, jointly and severally, his or her attorneys-in-fact, each with the full power of substitution, for him or her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Signature</w:t>
            </w:r>
          </w:p>
        </w:tc>
        <w:tc>
          <w:tcPr>
            <w:tcW w:w="40" w:type="dxa"/>
            <w:vAlign w:val="bottom"/>
          </w:tcPr>
          <w:p>
            <w:pPr>
              <w:spacing w:after="0"/>
              <w:rPr>
                <w:sz w:val="15"/>
                <w:szCs w:val="15"/>
                <w:color w:val="auto"/>
              </w:rPr>
            </w:pPr>
          </w:p>
        </w:tc>
        <w:tc>
          <w:tcPr>
            <w:tcW w:w="45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326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Date</w:t>
            </w:r>
          </w:p>
        </w:tc>
      </w:tr>
      <w:tr>
        <w:trPr>
          <w:trHeight w:val="331"/>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BALDRIDGE</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Richard Baldridge</w:t>
            </w:r>
          </w:p>
        </w:tc>
        <w:tc>
          <w:tcPr>
            <w:tcW w:w="40" w:type="dxa"/>
            <w:vAlign w:val="bottom"/>
          </w:tcPr>
          <w:p>
            <w:pPr>
              <w:spacing w:after="0"/>
              <w:rPr>
                <w:sz w:val="18"/>
                <w:szCs w:val="18"/>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260" w:type="dxa"/>
            <w:vAlign w:val="bottom"/>
          </w:tcPr>
          <w:p>
            <w:pPr>
              <w:spacing w:after="0"/>
              <w:rPr>
                <w:sz w:val="18"/>
                <w:szCs w:val="18"/>
                <w:color w:val="auto"/>
              </w:rPr>
            </w:pPr>
          </w:p>
        </w:tc>
      </w:tr>
      <w:tr>
        <w:trPr>
          <w:trHeight w:val="337"/>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DUFFY</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195"/>
        </w:trPr>
        <w:tc>
          <w:tcPr>
            <w:tcW w:w="3360" w:type="dxa"/>
            <w:vAlign w:val="bottom"/>
          </w:tcPr>
          <w:p>
            <w:pPr>
              <w:spacing w:after="0" w:line="195" w:lineRule="exact"/>
              <w:rPr>
                <w:sz w:val="20"/>
                <w:szCs w:val="20"/>
                <w:color w:val="auto"/>
              </w:rPr>
            </w:pPr>
            <w:r>
              <w:rPr>
                <w:rFonts w:ascii="Arial" w:cs="Arial" w:eastAsia="Arial" w:hAnsi="Arial"/>
                <w:sz w:val="18"/>
                <w:szCs w:val="18"/>
                <w:color w:val="auto"/>
              </w:rPr>
              <w:t>Shawn Duffy</w:t>
            </w:r>
          </w:p>
        </w:tc>
        <w:tc>
          <w:tcPr>
            <w:tcW w:w="40" w:type="dxa"/>
            <w:vAlign w:val="bottom"/>
          </w:tcPr>
          <w:p>
            <w:pPr>
              <w:spacing w:after="0"/>
              <w:rPr>
                <w:sz w:val="16"/>
                <w:szCs w:val="16"/>
                <w:color w:val="auto"/>
              </w:rPr>
            </w:pPr>
          </w:p>
        </w:tc>
        <w:tc>
          <w:tcPr>
            <w:tcW w:w="46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Chief Financial Officer</w:t>
            </w:r>
          </w:p>
        </w:tc>
        <w:tc>
          <w:tcPr>
            <w:tcW w:w="3260" w:type="dxa"/>
            <w:vAlign w:val="bottom"/>
          </w:tcPr>
          <w:p>
            <w:pPr>
              <w:spacing w:after="0"/>
              <w:rPr>
                <w:sz w:val="16"/>
                <w:szCs w:val="16"/>
                <w:color w:val="auto"/>
              </w:rPr>
            </w:pPr>
          </w:p>
        </w:tc>
      </w:tr>
      <w:tr>
        <w:trPr>
          <w:trHeight w:val="217"/>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3260" w:type="dxa"/>
            <w:vAlign w:val="bottom"/>
          </w:tcPr>
          <w:p>
            <w:pPr>
              <w:spacing w:after="0"/>
              <w:rPr>
                <w:sz w:val="18"/>
                <w:szCs w:val="18"/>
                <w:color w:val="auto"/>
              </w:rPr>
            </w:pPr>
          </w:p>
        </w:tc>
      </w:tr>
      <w:tr>
        <w:trPr>
          <w:trHeight w:val="324"/>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Executive Chairman</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Mark Dankberg</w:t>
            </w: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BRIDENSTINE</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James Bridenstine</w:t>
            </w: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JOHNSON</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Robert Johnson</w:t>
            </w: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PAK</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Sean Pak</w:t>
            </w: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VARSHA RAO</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Varsha Rao</w:t>
            </w: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STENBIT</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John Stenbit</w:t>
            </w: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37"/>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THERESA WISE</w:t>
            </w:r>
          </w:p>
        </w:tc>
        <w:tc>
          <w:tcPr>
            <w:tcW w:w="4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3260" w:type="dxa"/>
            <w:vAlign w:val="bottom"/>
          </w:tcPr>
          <w:p>
            <w:pPr>
              <w:spacing w:after="0"/>
              <w:rPr>
                <w:sz w:val="20"/>
                <w:szCs w:val="20"/>
                <w:color w:val="auto"/>
              </w:rPr>
            </w:pPr>
            <w:r>
              <w:rPr>
                <w:rFonts w:ascii="Arial" w:cs="Arial" w:eastAsia="Arial" w:hAnsi="Arial"/>
                <w:sz w:val="18"/>
                <w:szCs w:val="18"/>
                <w:color w:val="auto"/>
              </w:rPr>
              <w:t>May 28, 2021</w:t>
            </w:r>
          </w:p>
        </w:tc>
      </w:tr>
      <w:tr>
        <w:trPr>
          <w:trHeight w:val="210"/>
        </w:trPr>
        <w:tc>
          <w:tcPr>
            <w:tcW w:w="3360" w:type="dxa"/>
            <w:vAlign w:val="bottom"/>
          </w:tcPr>
          <w:p>
            <w:pPr>
              <w:spacing w:after="0"/>
              <w:rPr>
                <w:sz w:val="20"/>
                <w:szCs w:val="20"/>
                <w:color w:val="auto"/>
              </w:rPr>
            </w:pPr>
            <w:r>
              <w:rPr>
                <w:rFonts w:ascii="Arial" w:cs="Arial" w:eastAsia="Arial" w:hAnsi="Arial"/>
                <w:sz w:val="18"/>
                <w:szCs w:val="18"/>
                <w:color w:val="auto"/>
              </w:rPr>
              <w:t>Theresa Wise</w:t>
            </w: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Viasat,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9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We have audited the accompanying consolidated balance sheets of Viasat, Inc. and its subsidiaries (the “Company”) as of March 31, 2021 and 2020, and the related consolidated statements of operations and comprehensive income (loss), of equity, and of cash flows for each of the three years in the period ended March 31, 2021, including the related notes and financial statement schedule listed in the index appearing under Item 15(a)(2) (collectively referred to as the “consolidated financial statements”). We also have audited the Company's internal control over financial reporting as of March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March 31, 2021 and 2020, and the results of its operations and its cash flows for each of the three years in the period ended March 31, 2021 in conformity with accounting principles generally accepted in the United States of America. Also in our opinion, the Company maintained, in all material respects, effective internal control over financial reporting as of March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leases in fiscal year 2020 and the manner in which it accounts for revenues from contracts with customers in fiscal year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9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Estimated Costs at Completion</w:t>
      </w:r>
    </w:p>
    <w:p>
      <w:pPr>
        <w:spacing w:after="0" w:line="95"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described in Note 1 to the consolidated financial statements, the vast majority of the Company’s revenues from long-term contracts to develop and deliver complex equipment built to customer specifications are derived from contracts with the U.S. government. A portion of the Company’s total revenues of $2.3 billion for the year ended March 31, 2021 are from long-term contracts. 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w:t>
      </w:r>
    </w:p>
    <w:p>
      <w:pPr>
        <w:spacing w:after="0" w:line="18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estimated costs at completion is a critical audit matter are the significant judgment by management when developing the estimated costs at completion on individual fixed-price contracts, which in turn led to a high degree of auditor judgment, subjectivity and effort in performing procedures and evaluating evidence related to the estimated costs at completion, including the evaluation of management’s judgment as it relates to the subcontractor performance, material costs and availability, labor costs and productivity, and the costs of overhead.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7" w:right="379" w:bottom="1440" w:gutter="0" w:footer="0" w:header="0"/>
        </w:sectPr>
      </w:pPr>
    </w:p>
    <w:bookmarkStart w:id="66" w:name="page67"/>
    <w:bookmarkEnd w:id="66"/>
    <w:p>
      <w:pPr>
        <w:spacing w:after="0" w:line="236"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completeness and accuracy of estimated costs at completion. The procedures also included, among others, evaluating and testing management’s process for developing estimates of total estimated costs at completion for long-term contracts for a sample of contracts. This included testing the completeness and accuracy of costs incurred to date and evaluating the reasonableness of significant estimates used by management, including subcontractor performance, material costs, labor costs, and overhead costs, and considering factors that could affect the accuracy of those estimates. Evaluating the reasonableness of the significant assumptions used involved assessing management’s ability to reasonably estimate costs at completion by (i) testing samples of third-party quotes or bids for materials and subcontractor services, (ii) assessing the reasonableness of estimates of total costs at completion in comparison to actual total costs incurred to date, (iii) recalculating estimated labor and overhead, and (iv) evaluating the timely identification of circumstances that may warrant a modification to estimated costs to complete, including actual costs in excess of estimates.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May 28,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52"/>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r>
      <w:tr>
        <w:trPr>
          <w:trHeight w:val="175"/>
        </w:trPr>
        <w:tc>
          <w:tcPr>
            <w:tcW w:w="8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5"/>
                <w:szCs w:val="15"/>
                <w:color w:val="auto"/>
              </w:rPr>
            </w:pPr>
          </w:p>
        </w:tc>
      </w:tr>
      <w:tr>
        <w:trPr>
          <w:trHeight w:val="169"/>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(In thousands, except share data)</w:t>
            </w:r>
          </w:p>
        </w:tc>
      </w:tr>
      <w:tr>
        <w:trPr>
          <w:trHeight w:val="216"/>
        </w:trPr>
        <w:tc>
          <w:tcPr>
            <w:tcW w:w="802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295,949</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304,309</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238,652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330,698</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336,672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294,416</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119,960</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116,281</w:t>
            </w:r>
          </w:p>
        </w:tc>
        <w:tc>
          <w:tcPr>
            <w:tcW w:w="120" w:type="dxa"/>
            <w:vAlign w:val="bottom"/>
            <w:tcBorders>
              <w:bottom w:val="single" w:sz="8" w:color="CFF0FC"/>
            </w:tcBorders>
          </w:tcPr>
          <w:p>
            <w:pPr>
              <w:spacing w:after="0"/>
              <w:rPr>
                <w:sz w:val="18"/>
                <w:szCs w:val="18"/>
                <w:color w:val="auto"/>
              </w:rPr>
            </w:pPr>
          </w:p>
        </w:tc>
      </w:tr>
      <w:tr>
        <w:trPr>
          <w:trHeight w:val="209"/>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991,233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1,045,704</w:t>
            </w:r>
          </w:p>
        </w:tc>
        <w:tc>
          <w:tcPr>
            <w:tcW w:w="120" w:type="dxa"/>
            <w:vAlign w:val="bottom"/>
            <w:shd w:val="clear" w:color="auto" w:fill="CFF0FC"/>
          </w:tcPr>
          <w:p>
            <w:pPr>
              <w:spacing w:after="0"/>
              <w:rPr>
                <w:sz w:val="18"/>
                <w:szCs w:val="18"/>
                <w:color w:val="auto"/>
              </w:rPr>
            </w:pPr>
          </w:p>
        </w:tc>
      </w:tr>
      <w:tr>
        <w:trPr>
          <w:trHeight w:val="135"/>
        </w:trPr>
        <w:tc>
          <w:tcPr>
            <w:tcW w:w="8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3,050,483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2,586,735</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340,456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308,441</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14,439</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122,300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121,197</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835,427</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807,352</w:t>
            </w:r>
          </w:p>
        </w:tc>
        <w:tc>
          <w:tcPr>
            <w:tcW w:w="120" w:type="dxa"/>
            <w:vAlign w:val="bottom"/>
            <w:shd w:val="clear" w:color="auto" w:fill="CFF0FC"/>
          </w:tcPr>
          <w:p>
            <w:pPr>
              <w:spacing w:after="0"/>
              <w:rPr>
                <w:sz w:val="18"/>
                <w:szCs w:val="18"/>
                <w:color w:val="auto"/>
              </w:rPr>
            </w:pPr>
          </w:p>
        </w:tc>
      </w:tr>
      <w:tr>
        <w:trPr>
          <w:trHeight w:val="250"/>
        </w:trPr>
        <w:tc>
          <w:tcPr>
            <w:tcW w:w="80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5,349,467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4,883,868</w:t>
            </w:r>
          </w:p>
        </w:tc>
        <w:tc>
          <w:tcPr>
            <w:tcW w:w="120" w:type="dxa"/>
            <w:vAlign w:val="bottom"/>
          </w:tcPr>
          <w:p>
            <w:pPr>
              <w:spacing w:after="0"/>
              <w:rPr>
                <w:sz w:val="21"/>
                <w:szCs w:val="21"/>
                <w:color w:val="auto"/>
              </w:rPr>
            </w:pPr>
          </w:p>
        </w:tc>
      </w:tr>
      <w:tr>
        <w:trPr>
          <w:trHeight w:val="115"/>
        </w:trPr>
        <w:tc>
          <w:tcPr>
            <w:tcW w:w="80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80" w:type="dxa"/>
            <w:vAlign w:val="bottom"/>
            <w:tcBorders>
              <w:top w:val="single" w:sz="8" w:color="auto"/>
            </w:tcBorders>
            <w:shd w:val="clear" w:color="auto" w:fill="CFF0FC"/>
          </w:tcPr>
          <w:p>
            <w:pPr>
              <w:spacing w:after="0"/>
              <w:rPr>
                <w:sz w:val="10"/>
                <w:szCs w:val="10"/>
                <w:color w:val="auto"/>
              </w:rPr>
            </w:pPr>
          </w:p>
        </w:tc>
        <w:tc>
          <w:tcPr>
            <w:tcW w:w="28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26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216"/>
        </w:trPr>
        <w:tc>
          <w:tcPr>
            <w:tcW w:w="8020" w:type="dxa"/>
            <w:vAlign w:val="bottom"/>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145,134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183,601</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532,831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391,190</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30,472</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29,788</w:t>
            </w:r>
          </w:p>
        </w:tc>
        <w:tc>
          <w:tcPr>
            <w:tcW w:w="120" w:type="dxa"/>
            <w:vAlign w:val="bottom"/>
            <w:tcBorders>
              <w:bottom w:val="single" w:sz="8" w:color="CFF0FC"/>
            </w:tcBorders>
          </w:tcPr>
          <w:p>
            <w:pPr>
              <w:spacing w:after="0"/>
              <w:rPr>
                <w:sz w:val="18"/>
                <w:szCs w:val="18"/>
                <w:color w:val="auto"/>
              </w:rPr>
            </w:pPr>
          </w:p>
        </w:tc>
      </w:tr>
      <w:tr>
        <w:trPr>
          <w:trHeight w:val="210"/>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708,437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604,579</w:t>
            </w:r>
          </w:p>
        </w:tc>
        <w:tc>
          <w:tcPr>
            <w:tcW w:w="120" w:type="dxa"/>
            <w:vAlign w:val="bottom"/>
            <w:shd w:val="clear" w:color="auto" w:fill="CFF0FC"/>
          </w:tcPr>
          <w:p>
            <w:pPr>
              <w:spacing w:after="0"/>
              <w:rPr>
                <w:sz w:val="18"/>
                <w:szCs w:val="18"/>
                <w:color w:val="auto"/>
              </w:rPr>
            </w:pPr>
          </w:p>
        </w:tc>
      </w:tr>
      <w:tr>
        <w:trPr>
          <w:trHeight w:val="135"/>
        </w:trPr>
        <w:tc>
          <w:tcPr>
            <w:tcW w:w="8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1,683,264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1,285,497</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Other long-term debt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119,420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536,166</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313,762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286,550</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137,350</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120,934</w:t>
            </w:r>
          </w:p>
        </w:tc>
        <w:tc>
          <w:tcPr>
            <w:tcW w:w="120" w:type="dxa"/>
            <w:vAlign w:val="bottom"/>
            <w:tcBorders>
              <w:bottom w:val="single" w:sz="8" w:color="CFF0FC"/>
            </w:tcBorders>
          </w:tcPr>
          <w:p>
            <w:pPr>
              <w:spacing w:after="0"/>
              <w:rPr>
                <w:sz w:val="18"/>
                <w:szCs w:val="18"/>
                <w:color w:val="auto"/>
              </w:rPr>
            </w:pPr>
          </w:p>
        </w:tc>
      </w:tr>
      <w:tr>
        <w:trPr>
          <w:trHeight w:val="209"/>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2,962,233</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2,833,726</w:t>
            </w:r>
          </w:p>
        </w:tc>
        <w:tc>
          <w:tcPr>
            <w:tcW w:w="120" w:type="dxa"/>
            <w:vAlign w:val="bottom"/>
            <w:shd w:val="clear" w:color="auto" w:fill="CFF0FC"/>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Commitments and contingencies (Notes 12 and 13)</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5,000,000 shares authorized;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802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no shares issued and outstanding at March 31, 2021 and 2020,</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respectively</w:t>
            </w: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15"/>
        </w:trPr>
        <w:tc>
          <w:tcPr>
            <w:tcW w:w="8020" w:type="dxa"/>
            <w:vAlign w:val="bottom"/>
          </w:tcPr>
          <w:p>
            <w:pPr>
              <w:ind w:left="260"/>
              <w:spacing w:after="0"/>
              <w:rPr>
                <w:sz w:val="20"/>
                <w:szCs w:val="20"/>
                <w:color w:val="auto"/>
              </w:rPr>
            </w:pPr>
            <w:r>
              <w:rPr>
                <w:rFonts w:ascii="Arial" w:cs="Arial" w:eastAsia="Arial" w:hAnsi="Arial"/>
                <w:sz w:val="18"/>
                <w:szCs w:val="18"/>
                <w:color w:val="auto"/>
              </w:rPr>
              <w:t>Common stock, $0.0001 par value, 100,000,000 shares authorized;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020" w:type="dxa"/>
            <w:vAlign w:val="bottom"/>
          </w:tcPr>
          <w:p>
            <w:pPr>
              <w:ind w:left="400"/>
              <w:spacing w:after="0" w:line="202" w:lineRule="exact"/>
              <w:rPr>
                <w:sz w:val="20"/>
                <w:szCs w:val="20"/>
                <w:color w:val="auto"/>
              </w:rPr>
            </w:pPr>
            <w:r>
              <w:rPr>
                <w:rFonts w:ascii="Arial" w:cs="Arial" w:eastAsia="Arial" w:hAnsi="Arial"/>
                <w:sz w:val="18"/>
                <w:szCs w:val="18"/>
                <w:color w:val="auto"/>
              </w:rPr>
              <w:t>68,529,133 and 62,147,140 shares outstanding at March 31, 2021 and 2020,</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20" w:type="dxa"/>
            <w:vAlign w:val="bottom"/>
          </w:tcPr>
          <w:p>
            <w:pPr>
              <w:ind w:left="400"/>
              <w:spacing w:after="0" w:line="203" w:lineRule="exact"/>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2,092,595</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1,788,456</w:t>
            </w:r>
          </w:p>
        </w:tc>
        <w:tc>
          <w:tcPr>
            <w:tcW w:w="120" w:type="dxa"/>
            <w:vAlign w:val="bottom"/>
            <w:shd w:val="clear" w:color="auto" w:fill="CFF0FC"/>
          </w:tcPr>
          <w:p>
            <w:pPr>
              <w:spacing w:after="0"/>
              <w:rPr>
                <w:sz w:val="18"/>
                <w:szCs w:val="18"/>
                <w:color w:val="auto"/>
              </w:rPr>
            </w:pPr>
          </w:p>
        </w:tc>
      </w:tr>
      <w:tr>
        <w:trPr>
          <w:trHeight w:val="216"/>
        </w:trPr>
        <w:tc>
          <w:tcPr>
            <w:tcW w:w="80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249,064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245,373</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(6,048)</w:t>
            </w:r>
          </w:p>
        </w:tc>
      </w:tr>
      <w:tr>
        <w:trPr>
          <w:trHeight w:val="210"/>
        </w:trPr>
        <w:tc>
          <w:tcPr>
            <w:tcW w:w="802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2,351,469</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2,027,787</w:t>
            </w:r>
          </w:p>
        </w:tc>
        <w:tc>
          <w:tcPr>
            <w:tcW w:w="12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35,765</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120" w:type="dxa"/>
            <w:vAlign w:val="bottom"/>
            <w:shd w:val="clear" w:color="auto" w:fill="CFF0FC"/>
          </w:tcPr>
          <w:p>
            <w:pPr>
              <w:spacing w:after="0"/>
              <w:rPr>
                <w:sz w:val="18"/>
                <w:szCs w:val="18"/>
                <w:color w:val="auto"/>
              </w:rPr>
            </w:pPr>
          </w:p>
        </w:tc>
      </w:tr>
      <w:tr>
        <w:trPr>
          <w:trHeight w:val="209"/>
        </w:trPr>
        <w:tc>
          <w:tcPr>
            <w:tcW w:w="8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2,387,234</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2,050,142</w:t>
            </w:r>
          </w:p>
        </w:tc>
        <w:tc>
          <w:tcPr>
            <w:tcW w:w="120" w:type="dxa"/>
            <w:vAlign w:val="bottom"/>
            <w:tcBorders>
              <w:bottom w:val="single" w:sz="8" w:color="CFF0FC"/>
            </w:tcBorders>
          </w:tcPr>
          <w:p>
            <w:pPr>
              <w:spacing w:after="0"/>
              <w:rPr>
                <w:sz w:val="18"/>
                <w:szCs w:val="18"/>
                <w:color w:val="auto"/>
              </w:rPr>
            </w:pPr>
          </w:p>
        </w:tc>
      </w:tr>
      <w:tr>
        <w:trPr>
          <w:trHeight w:val="210"/>
        </w:trPr>
        <w:tc>
          <w:tcPr>
            <w:tcW w:w="8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5,349,467</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120" w:type="dxa"/>
            <w:vAlign w:val="bottom"/>
            <w:shd w:val="clear" w:color="auto" w:fill="CFF0FC"/>
          </w:tcPr>
          <w:p>
            <w:pPr>
              <w:spacing w:after="0"/>
              <w:rPr>
                <w:sz w:val="18"/>
                <w:szCs w:val="18"/>
                <w:color w:val="auto"/>
              </w:rPr>
            </w:pPr>
          </w:p>
        </w:tc>
      </w:tr>
      <w:tr>
        <w:trPr>
          <w:trHeight w:val="20"/>
        </w:trPr>
        <w:tc>
          <w:tcPr>
            <w:tcW w:w="80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ind w:right="620"/>
              <w:spacing w:after="0" w:line="156"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30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48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5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69"/>
        </w:trPr>
        <w:tc>
          <w:tcPr>
            <w:tcW w:w="5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80" w:type="dxa"/>
            <w:vAlign w:val="bottom"/>
            <w:gridSpan w:val="7"/>
          </w:tcPr>
          <w:p>
            <w:pPr>
              <w:jc w:val="center"/>
              <w:ind w:left="732"/>
              <w:spacing w:after="0"/>
              <w:rPr>
                <w:sz w:val="20"/>
                <w:szCs w:val="20"/>
                <w:color w:val="auto"/>
              </w:rPr>
            </w:pPr>
            <w:r>
              <w:rPr>
                <w:rFonts w:ascii="Arial" w:cs="Arial" w:eastAsia="Arial" w:hAnsi="Arial"/>
                <w:sz w:val="14"/>
                <w:szCs w:val="14"/>
                <w:b w:val="1"/>
                <w:bCs w:val="1"/>
                <w:color w:val="auto"/>
              </w:rPr>
              <w:t>(In thousands, except per share data)</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1,044,450</w:t>
            </w:r>
          </w:p>
        </w:tc>
        <w:tc>
          <w:tcPr>
            <w:tcW w:w="2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1,172,541</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1,092,691</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6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1,211,657</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1,136,697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975,567</w:t>
            </w:r>
          </w:p>
        </w:tc>
        <w:tc>
          <w:tcPr>
            <w:tcW w:w="100" w:type="dxa"/>
            <w:vAlign w:val="bottom"/>
            <w:shd w:val="clear" w:color="auto" w:fill="CFF0FC"/>
          </w:tcPr>
          <w:p>
            <w:pPr>
              <w:spacing w:after="0"/>
              <w:rPr>
                <w:sz w:val="18"/>
                <w:szCs w:val="18"/>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2,256,107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2,309,238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2,068,258</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774,893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834,472</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789,391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763,930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703,249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512,316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458,458</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115,792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123,044</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Borders>
              <w:bottom w:val="single" w:sz="8" w:color="CFF0FC"/>
            </w:tcBorders>
          </w:tcPr>
          <w:p>
            <w:pPr>
              <w:spacing w:after="0"/>
              <w:rPr>
                <w:sz w:val="18"/>
                <w:szCs w:val="18"/>
                <w:color w:val="auto"/>
              </w:rPr>
            </w:pPr>
          </w:p>
        </w:tc>
      </w:tr>
      <w:tr>
        <w:trPr>
          <w:trHeight w:val="20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(60,620)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(32,687)</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(38,641)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(50,010)</w:t>
            </w:r>
          </w:p>
        </w:tc>
      </w:tr>
      <w:tr>
        <w:trPr>
          <w:trHeight w:val="20"/>
        </w:trPr>
        <w:tc>
          <w:tcPr>
            <w:tcW w:w="58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(110,481)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(9,441)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41,014</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Equity in income of unconsolidated affiliate, net</w:t>
            </w:r>
          </w:p>
        </w:tc>
        <w:tc>
          <w:tcPr>
            <w:tcW w:w="6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FF0FC"/>
          </w:tcPr>
          <w:p>
            <w:pPr>
              <w:spacing w:after="0"/>
              <w:rPr>
                <w:sz w:val="18"/>
                <w:szCs w:val="18"/>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Net income (loss)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17,101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(66,469)</w:t>
            </w:r>
          </w:p>
        </w:tc>
      </w:tr>
      <w:tr>
        <w:trPr>
          <w:trHeight w:val="215"/>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Less: net income attributable to noncontrolling</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interests, net of tax</w:t>
            </w:r>
          </w:p>
        </w:tc>
        <w:tc>
          <w:tcPr>
            <w:tcW w:w="6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13,410</w:t>
            </w:r>
          </w:p>
        </w:tc>
        <w:tc>
          <w:tcPr>
            <w:tcW w:w="2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14,025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1,154</w:t>
            </w:r>
          </w:p>
        </w:tc>
        <w:tc>
          <w:tcPr>
            <w:tcW w:w="100" w:type="dxa"/>
            <w:vAlign w:val="bottom"/>
            <w:shd w:val="clear" w:color="auto" w:fill="CFF0FC"/>
          </w:tcPr>
          <w:p>
            <w:pPr>
              <w:spacing w:after="0"/>
              <w:rPr>
                <w:sz w:val="17"/>
                <w:szCs w:val="17"/>
                <w:color w:val="auto"/>
              </w:rPr>
            </w:pPr>
          </w:p>
        </w:tc>
      </w:tr>
      <w:tr>
        <w:trPr>
          <w:trHeight w:val="250"/>
        </w:trPr>
        <w:tc>
          <w:tcPr>
            <w:tcW w:w="580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3,691</w:t>
            </w:r>
          </w:p>
        </w:tc>
        <w:tc>
          <w:tcPr>
            <w:tcW w:w="24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(67,623)</w:t>
            </w:r>
          </w:p>
        </w:tc>
      </w:tr>
      <w:tr>
        <w:trPr>
          <w:trHeight w:val="196"/>
        </w:trPr>
        <w:tc>
          <w:tcPr>
            <w:tcW w:w="58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income (loss) per share attributable to Viasat, Inc.</w:t>
            </w:r>
          </w:p>
        </w:tc>
        <w:tc>
          <w:tcPr>
            <w:tcW w:w="6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8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rPr>
              <w:t>Basic net income (loss) per share attributable to Viasat, Inc.</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800" w:type="dxa"/>
            <w:vAlign w:val="bottom"/>
          </w:tcPr>
          <w:p>
            <w:pPr>
              <w:ind w:left="400"/>
              <w:spacing w:after="0" w:line="203" w:lineRule="exact"/>
              <w:rPr>
                <w:sz w:val="20"/>
                <w:szCs w:val="20"/>
                <w:color w:val="auto"/>
              </w:rPr>
            </w:pPr>
            <w:r>
              <w:rPr>
                <w:rFonts w:ascii="Arial" w:cs="Arial" w:eastAsia="Arial" w:hAnsi="Arial"/>
                <w:sz w:val="18"/>
                <w:szCs w:val="18"/>
                <w:color w:val="auto"/>
              </w:rPr>
              <w:t>common stockholders</w:t>
            </w:r>
          </w:p>
        </w:tc>
        <w:tc>
          <w:tcPr>
            <w:tcW w:w="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0.06</w:t>
            </w:r>
          </w:p>
        </w:tc>
        <w:tc>
          <w:tcPr>
            <w:tcW w:w="240" w:type="dxa"/>
            <w:vAlign w:val="bottom"/>
          </w:tcPr>
          <w:p>
            <w:pPr>
              <w:spacing w:after="0"/>
              <w:rPr>
                <w:sz w:val="17"/>
                <w:szCs w:val="17"/>
                <w:color w:val="auto"/>
              </w:rPr>
            </w:pPr>
          </w:p>
        </w:tc>
        <w:tc>
          <w:tcPr>
            <w:tcW w:w="240" w:type="dxa"/>
            <w:vAlign w:val="bottom"/>
          </w:tcPr>
          <w:p>
            <w:pPr>
              <w:jc w:val="right"/>
              <w:ind w:right="53"/>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(0.00)</w:t>
            </w:r>
          </w:p>
        </w:tc>
        <w:tc>
          <w:tcPr>
            <w:tcW w:w="4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(1.13)</w:t>
            </w: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net income (loss) per share attributable to Viasat, Inc.</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common stockholders</w:t>
            </w:r>
          </w:p>
        </w:tc>
        <w:tc>
          <w:tcPr>
            <w:tcW w:w="9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(0.00)</w:t>
            </w:r>
          </w:p>
        </w:tc>
        <w:tc>
          <w:tcPr>
            <w:tcW w:w="4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(1.13)</w:t>
            </w: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rPr>
              <w:t>Shares used in computing basic net income (loss) per share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59,942</w:t>
            </w: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used in computing diluted net income (loss) per share</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67,020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59,942</w:t>
            </w: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17,101</w:t>
            </w:r>
          </w:p>
        </w:tc>
        <w:tc>
          <w:tcPr>
            <w:tcW w:w="24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13,813</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(66,469)</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rPr>
              <w:t>Unrealized gain (loss) on hedging, net of tax</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r>
      <w:tr>
        <w:trPr>
          <w:trHeight w:val="216"/>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 of tax</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(11,621)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(9,985)</w:t>
            </w:r>
          </w:p>
        </w:tc>
      </w:tr>
      <w:tr>
        <w:trPr>
          <w:trHeight w:val="20"/>
        </w:trPr>
        <w:tc>
          <w:tcPr>
            <w:tcW w:w="5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(11,386)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(10,227)</w:t>
            </w:r>
          </w:p>
        </w:tc>
      </w:tr>
      <w:tr>
        <w:trPr>
          <w:trHeight w:val="20"/>
        </w:trPr>
        <w:tc>
          <w:tcPr>
            <w:tcW w:w="58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(76,696)</w:t>
            </w:r>
          </w:p>
        </w:tc>
      </w:tr>
      <w:tr>
        <w:trPr>
          <w:trHeight w:val="215"/>
        </w:trPr>
        <w:tc>
          <w:tcPr>
            <w:tcW w:w="5800" w:type="dxa"/>
            <w:vAlign w:val="bottom"/>
          </w:tcPr>
          <w:p>
            <w:pPr>
              <w:spacing w:after="0"/>
              <w:rPr>
                <w:sz w:val="20"/>
                <w:szCs w:val="20"/>
                <w:color w:val="auto"/>
              </w:rPr>
            </w:pPr>
            <w:r>
              <w:rPr>
                <w:rFonts w:ascii="Arial" w:cs="Arial" w:eastAsia="Arial" w:hAnsi="Arial"/>
                <w:sz w:val="18"/>
                <w:szCs w:val="18"/>
                <w:color w:val="auto"/>
              </w:rPr>
              <w:t>Less: comprehensive income attributable to</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80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noncontrolling interests, net of tax</w:t>
            </w:r>
          </w:p>
        </w:tc>
        <w:tc>
          <w:tcPr>
            <w:tcW w:w="6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13,410</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14,025</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1,154</w:t>
            </w:r>
          </w:p>
        </w:tc>
        <w:tc>
          <w:tcPr>
            <w:tcW w:w="100" w:type="dxa"/>
            <w:vAlign w:val="bottom"/>
            <w:tcBorders>
              <w:bottom w:val="single" w:sz="8" w:color="CFF0FC"/>
            </w:tcBorders>
          </w:tcPr>
          <w:p>
            <w:pPr>
              <w:spacing w:after="0"/>
              <w:rPr>
                <w:sz w:val="17"/>
                <w:szCs w:val="17"/>
                <w:color w:val="auto"/>
              </w:rPr>
            </w:pPr>
          </w:p>
        </w:tc>
      </w:tr>
      <w:tr>
        <w:trPr>
          <w:trHeight w:val="20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 attributable to</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9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19,542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(11,598)</w:t>
            </w:r>
          </w:p>
        </w:tc>
        <w:tc>
          <w:tcPr>
            <w:tcW w:w="4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(77,850)</w:t>
            </w: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Fiscal Years Ended</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5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right"/>
              <w:ind w:right="520"/>
              <w:spacing w:after="0" w:line="120"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340"/>
              <w:spacing w:after="0" w:line="120" w:lineRule="exact"/>
              <w:rPr>
                <w:sz w:val="20"/>
                <w:szCs w:val="20"/>
                <w:color w:val="auto"/>
              </w:rPr>
            </w:pPr>
            <w:r>
              <w:rPr>
                <w:rFonts w:ascii="Arial" w:cs="Arial" w:eastAsia="Arial" w:hAnsi="Arial"/>
                <w:sz w:val="13"/>
                <w:szCs w:val="13"/>
                <w:b w:val="1"/>
                <w:bCs w:val="1"/>
                <w:color w:val="auto"/>
                <w:w w:val="96"/>
              </w:rPr>
              <w:t>March 31,</w:t>
            </w:r>
          </w:p>
        </w:tc>
        <w:tc>
          <w:tcPr>
            <w:tcW w:w="220" w:type="dxa"/>
            <w:vAlign w:val="bottom"/>
          </w:tcPr>
          <w:p>
            <w:pPr>
              <w:spacing w:after="0"/>
              <w:rPr>
                <w:sz w:val="10"/>
                <w:szCs w:val="10"/>
                <w:color w:val="auto"/>
              </w:rPr>
            </w:pPr>
          </w:p>
        </w:tc>
        <w:tc>
          <w:tcPr>
            <w:tcW w:w="1120" w:type="dxa"/>
            <w:vAlign w:val="bottom"/>
          </w:tcPr>
          <w:p>
            <w:pPr>
              <w:jc w:val="right"/>
              <w:ind w:right="313"/>
              <w:spacing w:after="0" w:line="120"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6"/>
              </w:rPr>
              <w:t>2020</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(In thousands)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3"/>
                <w:szCs w:val="13"/>
                <w:color w:val="auto"/>
              </w:rPr>
              <w:t>Net income (loss)</w:t>
            </w:r>
          </w:p>
        </w:tc>
        <w:tc>
          <w:tcPr>
            <w:tcW w:w="1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17,101</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13,813</w:t>
            </w:r>
          </w:p>
        </w:tc>
        <w:tc>
          <w:tcPr>
            <w:tcW w:w="24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(66,469)</w:t>
            </w:r>
          </w:p>
        </w:tc>
        <w:tc>
          <w:tcPr>
            <w:tcW w:w="0" w:type="dxa"/>
            <w:vAlign w:val="bottom"/>
          </w:tcPr>
          <w:p>
            <w:pPr>
              <w:spacing w:after="0"/>
              <w:rPr>
                <w:sz w:val="1"/>
                <w:szCs w:val="1"/>
                <w:color w:val="auto"/>
              </w:rPr>
            </w:pPr>
          </w:p>
        </w:tc>
      </w:tr>
      <w:tr>
        <w:trPr>
          <w:trHeight w:val="145"/>
        </w:trPr>
        <w:tc>
          <w:tcPr>
            <w:tcW w:w="5580" w:type="dxa"/>
            <w:vAlign w:val="bottom"/>
            <w:shd w:val="clear" w:color="auto" w:fill="CFF0FC"/>
          </w:tcPr>
          <w:p>
            <w:pPr>
              <w:spacing w:after="0" w:line="146" w:lineRule="exact"/>
              <w:rPr>
                <w:sz w:val="20"/>
                <w:szCs w:val="20"/>
                <w:color w:val="auto"/>
              </w:rPr>
            </w:pPr>
            <w:r>
              <w:rPr>
                <w:rFonts w:ascii="Arial" w:cs="Arial" w:eastAsia="Arial" w:hAnsi="Arial"/>
                <w:sz w:val="13"/>
                <w:szCs w:val="13"/>
                <w:b w:val="1"/>
                <w:bCs w:val="1"/>
                <w:color w:val="auto"/>
              </w:rPr>
              <w:t>Adjustments to reconcile net income (loss) to net cash provided</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58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by operating activities: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Depreciation</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330,861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279,733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262,289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intangible assets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66,241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62,445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56,324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84,879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86,553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79,599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disposition of fixed assets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39,442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45,622</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Other non-cash adjustments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7,773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(3,154)</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(25,330)</w:t>
            </w:r>
          </w:p>
        </w:tc>
        <w:tc>
          <w:tcPr>
            <w:tcW w:w="0" w:type="dxa"/>
            <w:vAlign w:val="bottom"/>
          </w:tcPr>
          <w:p>
            <w:pPr>
              <w:spacing w:after="0"/>
              <w:rPr>
                <w:sz w:val="1"/>
                <w:szCs w:val="1"/>
                <w:color w:val="auto"/>
              </w:rPr>
            </w:pPr>
          </w:p>
        </w:tc>
      </w:tr>
      <w:tr>
        <w:trPr>
          <w:trHeight w:val="161"/>
        </w:trPr>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Increase (decrease) in cash resulting from changes in operating assets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and liabilities, net of effect of acquisition: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Accounts receivable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84,411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(44,807)</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(46,108)</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(42,460)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(58,997)</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(36,593)</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Other assets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36,431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(3,313)</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(2,349)</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Accounts payable</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(24,363)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28,175</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(5,714)</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Accrued liabilities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154,898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55,126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71,478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liabilities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(27,999)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(24,260)</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(1,533)</w:t>
            </w:r>
          </w:p>
        </w:tc>
        <w:tc>
          <w:tcPr>
            <w:tcW w:w="0" w:type="dxa"/>
            <w:vAlign w:val="bottom"/>
          </w:tcPr>
          <w:p>
            <w:pPr>
              <w:spacing w:after="0"/>
              <w:rPr>
                <w:sz w:val="1"/>
                <w:szCs w:val="1"/>
                <w:color w:val="auto"/>
              </w:rPr>
            </w:pPr>
          </w:p>
        </w:tc>
      </w:tr>
      <w:tr>
        <w:trPr>
          <w:trHeight w:val="155"/>
        </w:trPr>
        <w:tc>
          <w:tcPr>
            <w:tcW w:w="5580" w:type="dxa"/>
            <w:vAlign w:val="bottom"/>
          </w:tcPr>
          <w:p>
            <w:pPr>
              <w:ind w:left="740"/>
              <w:spacing w:after="0"/>
              <w:rPr>
                <w:sz w:val="20"/>
                <w:szCs w:val="20"/>
                <w:color w:val="auto"/>
              </w:rPr>
            </w:pPr>
            <w:r>
              <w:rPr>
                <w:rFonts w:ascii="Arial" w:cs="Arial" w:eastAsia="Arial" w:hAnsi="Arial"/>
                <w:sz w:val="13"/>
                <w:szCs w:val="13"/>
                <w:color w:val="auto"/>
              </w:rPr>
              <w:t>Net cash provided by operating activities</w:t>
            </w:r>
          </w:p>
        </w:tc>
        <w:tc>
          <w:tcPr>
            <w:tcW w:w="1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727,215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436,936</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327,551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3"/>
                <w:szCs w:val="13"/>
                <w:color w:val="auto"/>
              </w:rPr>
              <w:t>Purchase of property, equipment and satellites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(827,241)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(693,966)</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(636,855)</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patents, licenses and other assets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(58,030)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(67,112)</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(49,965)</w:t>
            </w: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3"/>
                <w:szCs w:val="13"/>
                <w:color w:val="auto"/>
              </w:rPr>
              <w:t>Proceeds from insurance claims on ViaSat-2 satellite</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2,277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185,706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real property</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3"/>
                <w:szCs w:val="13"/>
                <w:color w:val="auto"/>
              </w:rPr>
              <w:t>Payments related to acquisition of business, net of cash acquired</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(2,339)</w:t>
            </w:r>
          </w:p>
        </w:tc>
        <w:tc>
          <w:tcPr>
            <w:tcW w:w="0" w:type="dxa"/>
            <w:vAlign w:val="bottom"/>
          </w:tcPr>
          <w:p>
            <w:pPr>
              <w:spacing w:after="0"/>
              <w:rPr>
                <w:sz w:val="1"/>
                <w:szCs w:val="1"/>
                <w:color w:val="auto"/>
              </w:rPr>
            </w:pPr>
          </w:p>
        </w:tc>
      </w:tr>
      <w:tr>
        <w:trPr>
          <w:trHeight w:val="20"/>
        </w:trPr>
        <w:tc>
          <w:tcPr>
            <w:tcW w:w="55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80" w:type="dxa"/>
            <w:vAlign w:val="bottom"/>
            <w:shd w:val="clear" w:color="auto" w:fill="CFF0FC"/>
          </w:tcPr>
          <w:p>
            <w:pPr>
              <w:ind w:left="740"/>
              <w:spacing w:after="0"/>
              <w:rPr>
                <w:sz w:val="20"/>
                <w:szCs w:val="20"/>
                <w:color w:val="auto"/>
              </w:rPr>
            </w:pPr>
            <w:r>
              <w:rPr>
                <w:rFonts w:ascii="Arial" w:cs="Arial" w:eastAsia="Arial" w:hAnsi="Arial"/>
                <w:sz w:val="13"/>
                <w:szCs w:val="13"/>
                <w:color w:val="auto"/>
              </w:rPr>
              <w:t>Net cash used in investing activities</w:t>
            </w:r>
          </w:p>
        </w:tc>
        <w:tc>
          <w:tcPr>
            <w:tcW w:w="10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(885,271)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(758,801)</w:t>
            </w:r>
          </w:p>
        </w:tc>
        <w:tc>
          <w:tcPr>
            <w:tcW w:w="22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(489,419)</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Proceeds from debt borrowings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420,000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1,110,000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Payments of debt borrowings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(420,552)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3"/>
                <w:szCs w:val="13"/>
                <w:color w:val="auto"/>
              </w:rPr>
              <w:t>(59,691)</w:t>
            </w: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(732,840)</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Payment of debt issuance costs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(5,060)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(2,479)</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(9,767)</w:t>
            </w:r>
          </w:p>
        </w:tc>
        <w:tc>
          <w:tcPr>
            <w:tcW w:w="0" w:type="dxa"/>
            <w:vAlign w:val="bottom"/>
          </w:tcPr>
          <w:p>
            <w:pPr>
              <w:spacing w:after="0"/>
              <w:rPr>
                <w:sz w:val="1"/>
                <w:szCs w:val="1"/>
                <w:color w:val="auto"/>
              </w:rPr>
            </w:pPr>
          </w:p>
        </w:tc>
      </w:tr>
      <w:tr>
        <w:trPr>
          <w:trHeight w:val="162"/>
        </w:trPr>
        <w:tc>
          <w:tcPr>
            <w:tcW w:w="5580" w:type="dxa"/>
            <w:vAlign w:val="bottom"/>
          </w:tcPr>
          <w:p>
            <w:pPr>
              <w:ind w:left="500"/>
              <w:spacing w:after="0"/>
              <w:rPr>
                <w:sz w:val="20"/>
                <w:szCs w:val="20"/>
                <w:color w:val="auto"/>
              </w:rPr>
            </w:pPr>
            <w:r>
              <w:rPr>
                <w:rFonts w:ascii="Arial" w:cs="Arial" w:eastAsia="Arial" w:hAnsi="Arial"/>
                <w:sz w:val="13"/>
                <w:szCs w:val="13"/>
                <w:color w:val="auto"/>
              </w:rPr>
              <w:t>Proceeds from issuance of common stock under equity plans</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19,101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38,410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26,330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Purchase of common stock in treasury (immediately retired)</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FF0FC"/>
          </w:tcPr>
          <w:p>
            <w:pPr>
              <w:ind w:left="620"/>
              <w:spacing w:after="0"/>
              <w:rPr>
                <w:sz w:val="20"/>
                <w:szCs w:val="20"/>
                <w:color w:val="auto"/>
              </w:rPr>
            </w:pPr>
            <w:r>
              <w:rPr>
                <w:rFonts w:ascii="Arial" w:cs="Arial" w:eastAsia="Arial" w:hAnsi="Arial"/>
                <w:sz w:val="13"/>
                <w:szCs w:val="13"/>
                <w:color w:val="auto"/>
              </w:rPr>
              <w:t>related to tax withholdings for stock-based compensation</w:t>
            </w: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(13,676)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(28,802)</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(28,826)</w:t>
            </w:r>
          </w:p>
        </w:tc>
        <w:tc>
          <w:tcPr>
            <w:tcW w:w="0" w:type="dxa"/>
            <w:vAlign w:val="bottom"/>
          </w:tcPr>
          <w:p>
            <w:pPr>
              <w:spacing w:after="0"/>
              <w:rPr>
                <w:sz w:val="1"/>
                <w:szCs w:val="1"/>
                <w:color w:val="auto"/>
              </w:rPr>
            </w:pPr>
          </w:p>
        </w:tc>
      </w:tr>
      <w:tr>
        <w:trPr>
          <w:trHeight w:val="161"/>
        </w:trPr>
        <w:tc>
          <w:tcPr>
            <w:tcW w:w="5580" w:type="dxa"/>
            <w:vAlign w:val="bottom"/>
          </w:tcPr>
          <w:p>
            <w:pPr>
              <w:ind w:left="500"/>
              <w:spacing w:after="0"/>
              <w:rPr>
                <w:sz w:val="20"/>
                <w:szCs w:val="20"/>
                <w:color w:val="auto"/>
              </w:rPr>
            </w:pPr>
            <w:r>
              <w:rPr>
                <w:rFonts w:ascii="Arial" w:cs="Arial" w:eastAsia="Arial" w:hAnsi="Arial"/>
                <w:sz w:val="13"/>
                <w:szCs w:val="13"/>
                <w:color w:val="auto"/>
              </w:rPr>
              <w:t>Proceeds from common stock issued in private placement, net</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ind w:left="620"/>
              <w:spacing w:after="0"/>
              <w:rPr>
                <w:sz w:val="20"/>
                <w:szCs w:val="20"/>
                <w:color w:val="auto"/>
              </w:rPr>
            </w:pPr>
            <w:r>
              <w:rPr>
                <w:rFonts w:ascii="Arial" w:cs="Arial" w:eastAsia="Arial" w:hAnsi="Arial"/>
                <w:sz w:val="13"/>
                <w:szCs w:val="13"/>
                <w:color w:val="auto"/>
              </w:rPr>
              <w:t>of issuance costs</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174,749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financing activities</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(4,871)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(2,253)</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(10,280)</w:t>
            </w:r>
          </w:p>
        </w:tc>
        <w:tc>
          <w:tcPr>
            <w:tcW w:w="0" w:type="dxa"/>
            <w:vAlign w:val="bottom"/>
          </w:tcPr>
          <w:p>
            <w:pPr>
              <w:spacing w:after="0"/>
              <w:rPr>
                <w:sz w:val="1"/>
                <w:szCs w:val="1"/>
                <w:color w:val="auto"/>
              </w:rPr>
            </w:pPr>
          </w:p>
        </w:tc>
      </w:tr>
      <w:tr>
        <w:trPr>
          <w:trHeight w:val="156"/>
        </w:trPr>
        <w:tc>
          <w:tcPr>
            <w:tcW w:w="5580" w:type="dxa"/>
            <w:vAlign w:val="bottom"/>
          </w:tcPr>
          <w:p>
            <w:pPr>
              <w:ind w:left="740"/>
              <w:spacing w:after="0"/>
              <w:rPr>
                <w:sz w:val="20"/>
                <w:szCs w:val="20"/>
                <w:color w:val="auto"/>
              </w:rPr>
            </w:pPr>
            <w:r>
              <w:rPr>
                <w:rFonts w:ascii="Arial" w:cs="Arial" w:eastAsia="Arial" w:hAnsi="Arial"/>
                <w:sz w:val="13"/>
                <w:szCs w:val="13"/>
                <w:color w:val="auto"/>
              </w:rPr>
              <w:t>Net cash provided by financing activities</w:t>
            </w:r>
          </w:p>
        </w:tc>
        <w:tc>
          <w:tcPr>
            <w:tcW w:w="1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149,691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365,185</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354,617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Arial" w:cs="Arial" w:eastAsia="Arial" w:hAnsi="Arial"/>
                <w:sz w:val="13"/>
                <w:szCs w:val="13"/>
                <w:color w:val="auto"/>
              </w:rPr>
              <w:t>Effect of exchange rate changes on cash</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(712)</w:t>
            </w:r>
          </w:p>
        </w:tc>
        <w:tc>
          <w:tcPr>
            <w:tcW w:w="2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(2,494)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tcPr>
          <w:p>
            <w:pPr>
              <w:spacing w:after="0"/>
              <w:rPr>
                <w:sz w:val="20"/>
                <w:szCs w:val="20"/>
                <w:color w:val="auto"/>
              </w:rPr>
            </w:pPr>
            <w:r>
              <w:rPr>
                <w:rFonts w:ascii="Arial" w:cs="Arial" w:eastAsia="Arial" w:hAnsi="Arial"/>
                <w:sz w:val="13"/>
                <w:szCs w:val="13"/>
                <w:color w:val="auto"/>
              </w:rPr>
              <w:t>Net (decrease) increase in cash and cash equivalents</w:t>
            </w: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(8,360)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42,608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190,255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at beginning of fiscal year</w:t>
            </w:r>
          </w:p>
        </w:tc>
        <w:tc>
          <w:tcPr>
            <w:tcW w:w="10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304,309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261,701</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71,446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80" w:type="dxa"/>
            <w:vAlign w:val="bottom"/>
          </w:tcPr>
          <w:p>
            <w:pPr>
              <w:spacing w:after="0"/>
              <w:rPr>
                <w:sz w:val="20"/>
                <w:szCs w:val="20"/>
                <w:color w:val="auto"/>
              </w:rPr>
            </w:pPr>
            <w:r>
              <w:rPr>
                <w:rFonts w:ascii="Arial" w:cs="Arial" w:eastAsia="Arial" w:hAnsi="Arial"/>
                <w:sz w:val="13"/>
                <w:szCs w:val="13"/>
                <w:color w:val="auto"/>
              </w:rPr>
              <w:t>Cash and cash equivalents at end of fiscal year</w:t>
            </w:r>
          </w:p>
        </w:tc>
        <w:tc>
          <w:tcPr>
            <w:tcW w:w="1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295,949</w:t>
            </w: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304,309</w:t>
            </w:r>
          </w:p>
        </w:tc>
        <w:tc>
          <w:tcPr>
            <w:tcW w:w="240" w:type="dxa"/>
            <w:vAlign w:val="bottom"/>
          </w:tcPr>
          <w:p>
            <w:pPr>
              <w:spacing w:after="0"/>
              <w:rPr>
                <w:sz w:val="17"/>
                <w:szCs w:val="17"/>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261,701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58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Supplemental information:</w:t>
            </w:r>
          </w:p>
        </w:tc>
        <w:tc>
          <w:tcPr>
            <w:tcW w:w="10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124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58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Cash paid for interest (net of amounts capitalized)</w:t>
            </w:r>
          </w:p>
        </w:tc>
        <w:tc>
          <w:tcPr>
            <w:tcW w:w="10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23,526</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27,805</w:t>
            </w: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35,119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580" w:type="dxa"/>
            <w:vAlign w:val="bottom"/>
            <w:shd w:val="clear" w:color="auto" w:fill="CFF0FC"/>
          </w:tcPr>
          <w:p>
            <w:pPr>
              <w:ind w:left="260"/>
              <w:spacing w:after="0" w:line="143" w:lineRule="exact"/>
              <w:rPr>
                <w:sz w:val="20"/>
                <w:szCs w:val="20"/>
                <w:color w:val="auto"/>
              </w:rPr>
            </w:pPr>
            <w:r>
              <w:rPr>
                <w:rFonts w:ascii="Arial" w:cs="Arial" w:eastAsia="Arial" w:hAnsi="Arial"/>
                <w:sz w:val="13"/>
                <w:szCs w:val="13"/>
                <w:color w:val="auto"/>
              </w:rPr>
              <w:t>Cash paid for income taxes, net</w:t>
            </w:r>
          </w:p>
        </w:tc>
        <w:tc>
          <w:tcPr>
            <w:tcW w:w="1300" w:type="dxa"/>
            <w:vAlign w:val="bottom"/>
            <w:gridSpan w:val="2"/>
            <w:shd w:val="clear" w:color="auto" w:fill="CFF0FC"/>
          </w:tcPr>
          <w:p>
            <w:pPr>
              <w:jc w:val="right"/>
              <w:ind w:right="73"/>
              <w:spacing w:after="0" w:line="143" w:lineRule="exact"/>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6,670</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10,950</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3"/>
              <w:spacing w:after="0" w:line="143" w:lineRule="exact"/>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1,758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5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Issuance of common stock in satisfaction of certain accrued</w:t>
            </w:r>
          </w:p>
        </w:tc>
        <w:tc>
          <w:tcPr>
            <w:tcW w:w="10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FF0FC"/>
          </w:tcPr>
          <w:p>
            <w:pPr>
              <w:ind w:left="620"/>
              <w:spacing w:after="0"/>
              <w:rPr>
                <w:sz w:val="20"/>
                <w:szCs w:val="20"/>
                <w:color w:val="auto"/>
              </w:rPr>
            </w:pPr>
            <w:r>
              <w:rPr>
                <w:rFonts w:ascii="Arial" w:cs="Arial" w:eastAsia="Arial" w:hAnsi="Arial"/>
                <w:sz w:val="13"/>
                <w:szCs w:val="13"/>
                <w:color w:val="auto"/>
              </w:rPr>
              <w:t>employee compensation liabilities</w:t>
            </w:r>
          </w:p>
        </w:tc>
        <w:tc>
          <w:tcPr>
            <w:tcW w:w="1300" w:type="dxa"/>
            <w:vAlign w:val="bottom"/>
            <w:gridSpan w:val="2"/>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25,406</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22,829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80" w:type="dxa"/>
            <w:vAlign w:val="bottom"/>
          </w:tcPr>
          <w:p>
            <w:pPr>
              <w:ind w:left="500"/>
              <w:spacing w:after="0"/>
              <w:rPr>
                <w:sz w:val="20"/>
                <w:szCs w:val="20"/>
                <w:color w:val="auto"/>
              </w:rPr>
            </w:pPr>
            <w:r>
              <w:rPr>
                <w:rFonts w:ascii="Arial" w:cs="Arial" w:eastAsia="Arial" w:hAnsi="Arial"/>
                <w:sz w:val="13"/>
                <w:szCs w:val="13"/>
                <w:color w:val="auto"/>
              </w:rPr>
              <w:t>Capital expenditures not paid for</w:t>
            </w:r>
          </w:p>
        </w:tc>
        <w:tc>
          <w:tcPr>
            <w:tcW w:w="1300" w:type="dxa"/>
            <w:vAlign w:val="bottom"/>
            <w:gridSpan w:val="2"/>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32,616</w:t>
            </w:r>
          </w:p>
        </w:tc>
        <w:tc>
          <w:tcPr>
            <w:tcW w:w="1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43,606</w:t>
            </w:r>
          </w:p>
        </w:tc>
        <w:tc>
          <w:tcPr>
            <w:tcW w:w="24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40,619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80"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Viasat,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8890</wp:posOffset>
            </wp:positionV>
            <wp:extent cx="32143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Common Stock</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9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00" w:type="dxa"/>
            <w:vAlign w:val="bottom"/>
          </w:tcPr>
          <w:p>
            <w:pPr>
              <w:spacing w:after="0"/>
              <w:rPr>
                <w:sz w:val="12"/>
                <w:szCs w:val="12"/>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rPr>
              <w:t>Other</w:t>
            </w: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900" w:type="dxa"/>
            <w:vAlign w:val="bottom"/>
          </w:tcPr>
          <w:p>
            <w:pPr>
              <w:spacing w:after="0"/>
              <w:rPr>
                <w:sz w:val="12"/>
                <w:szCs w:val="12"/>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Retained</w:t>
            </w:r>
          </w:p>
        </w:tc>
        <w:tc>
          <w:tcPr>
            <w:tcW w:w="132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Interest in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39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Issued</w:t>
            </w:r>
          </w:p>
        </w:tc>
        <w:tc>
          <w:tcPr>
            <w:tcW w:w="12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Income (Loss)</w:t>
            </w:r>
          </w:p>
        </w:tc>
        <w:tc>
          <w:tcPr>
            <w:tcW w:w="1080" w:type="dxa"/>
            <w:vAlign w:val="bottom"/>
            <w:gridSpan w:val="3"/>
          </w:tcPr>
          <w:p>
            <w:pPr>
              <w:ind w:left="80"/>
              <w:spacing w:after="0"/>
              <w:rPr>
                <w:sz w:val="20"/>
                <w:szCs w:val="20"/>
                <w:color w:val="auto"/>
              </w:rPr>
            </w:pPr>
            <w:r>
              <w:rPr>
                <w:rFonts w:ascii="Arial" w:cs="Arial" w:eastAsia="Arial" w:hAnsi="Arial"/>
                <w:sz w:val="13"/>
                <w:szCs w:val="13"/>
                <w:b w:val="1"/>
                <w:bCs w:val="1"/>
                <w:color w:val="auto"/>
              </w:rPr>
              <w:t>Subsidiaries</w:t>
            </w: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56"/>
        </w:trPr>
        <w:tc>
          <w:tcPr>
            <w:tcW w:w="39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20" w:type="dxa"/>
            <w:vAlign w:val="bottom"/>
            <w:tcBorders>
              <w:top w:val="single" w:sz="8" w:color="auto"/>
            </w:tcBorders>
            <w:gridSpan w:val="11"/>
          </w:tcPr>
          <w:p>
            <w:pPr>
              <w:ind w:left="500"/>
              <w:spacing w:after="0"/>
              <w:rPr>
                <w:sz w:val="20"/>
                <w:szCs w:val="20"/>
                <w:color w:val="auto"/>
              </w:rPr>
            </w:pPr>
            <w:r>
              <w:rPr>
                <w:rFonts w:ascii="Arial" w:cs="Arial" w:eastAsia="Arial" w:hAnsi="Arial"/>
                <w:sz w:val="13"/>
                <w:szCs w:val="13"/>
                <w:b w:val="1"/>
                <w:bCs w:val="1"/>
                <w:color w:val="auto"/>
              </w:rPr>
              <w:t>(In thousands, except share data)</w:t>
            </w: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58,905,274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$ 1,535,635</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285,960</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10,841</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$ 1,848,007</w:t>
            </w:r>
          </w:p>
        </w:tc>
        <w:tc>
          <w:tcPr>
            <w:tcW w:w="100" w:type="dxa"/>
            <w:vAlign w:val="bottom"/>
            <w:shd w:val="clear" w:color="auto" w:fill="CFF0FC"/>
          </w:tcPr>
          <w:p>
            <w:pPr>
              <w:spacing w:after="0"/>
              <w:rPr>
                <w:sz w:val="15"/>
                <w:szCs w:val="15"/>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11,087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11,087</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289,024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15,243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15,243</w:t>
            </w:r>
          </w:p>
        </w:tc>
        <w:tc>
          <w:tcPr>
            <w:tcW w:w="100" w:type="dxa"/>
            <w:vAlign w:val="bottom"/>
            <w:shd w:val="clear" w:color="auto" w:fill="CFF0FC"/>
          </w:tcPr>
          <w:p>
            <w:pPr>
              <w:spacing w:after="0"/>
              <w:rPr>
                <w:sz w:val="13"/>
                <w:szCs w:val="13"/>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91,470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91,470</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Shares and fully-vested RSUs issued in settlement of</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39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certain accrued employee compensation liabilities,</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9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of shares withheld for taxes which have been</w:t>
            </w: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438,433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27,701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27,701</w:t>
            </w:r>
          </w:p>
        </w:tc>
        <w:tc>
          <w:tcPr>
            <w:tcW w:w="100" w:type="dxa"/>
            <w:vAlign w:val="bottom"/>
            <w:shd w:val="clear" w:color="auto" w:fill="CFF0FC"/>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642,362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60"/>
              <w:spacing w:after="0" w:line="157" w:lineRule="exact"/>
              <w:rPr>
                <w:sz w:val="20"/>
                <w:szCs w:val="20"/>
                <w:color w:val="auto"/>
              </w:rPr>
            </w:pPr>
            <w:r>
              <w:rPr>
                <w:rFonts w:ascii="Arial" w:cs="Arial" w:eastAsia="Arial" w:hAnsi="Arial"/>
                <w:sz w:val="14"/>
                <w:szCs w:val="14"/>
                <w:color w:val="auto"/>
              </w:rPr>
              <w:t>(24,398)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(24,398)</w:t>
            </w: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adjustment upon adoption of new</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revenue recognition guidance (ASU 2014-09)</w:t>
            </w:r>
          </w:p>
        </w:tc>
        <w:tc>
          <w:tcPr>
            <w:tcW w:w="1040" w:type="dxa"/>
            <w:vAlign w:val="bottom"/>
            <w:gridSpan w:val="3"/>
            <w:shd w:val="clear" w:color="auto" w:fill="CFF0FC"/>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27,248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27,248</w:t>
            </w:r>
          </w:p>
        </w:tc>
        <w:tc>
          <w:tcPr>
            <w:tcW w:w="100" w:type="dxa"/>
            <w:vAlign w:val="bottom"/>
            <w:shd w:val="clear" w:color="auto" w:fill="CFF0FC"/>
          </w:tcPr>
          <w:p>
            <w:pPr>
              <w:spacing w:after="0"/>
              <w:rPr>
                <w:sz w:val="13"/>
                <w:szCs w:val="13"/>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Other noncontrolling interest activity</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(3,665)</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(3,584)</w:t>
            </w: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(67,623)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(66,469)</w:t>
            </w: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(10,227)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(10,227)</w:t>
            </w:r>
          </w:p>
        </w:tc>
      </w:tr>
      <w:tr>
        <w:trPr>
          <w:trHeight w:val="20"/>
        </w:trPr>
        <w:tc>
          <w:tcPr>
            <w:tcW w:w="3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60,550,093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$ 1,656,819</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245,585</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8,330</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$ 1,916,078</w:t>
            </w:r>
          </w:p>
        </w:tc>
        <w:tc>
          <w:tcPr>
            <w:tcW w:w="100" w:type="dxa"/>
            <w:vAlign w:val="bottom"/>
            <w:shd w:val="clear" w:color="auto" w:fill="CFF0FC"/>
          </w:tcPr>
          <w:p>
            <w:pPr>
              <w:spacing w:after="0"/>
              <w:rPr>
                <w:sz w:val="14"/>
                <w:szCs w:val="14"/>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340,373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21,060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21,060</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311,137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17,350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17,350</w:t>
            </w:r>
          </w:p>
        </w:tc>
        <w:tc>
          <w:tcPr>
            <w:tcW w:w="100" w:type="dxa"/>
            <w:vAlign w:val="bottom"/>
            <w:shd w:val="clear" w:color="auto" w:fill="CFF0FC"/>
          </w:tcPr>
          <w:p>
            <w:pPr>
              <w:spacing w:after="0"/>
              <w:rPr>
                <w:sz w:val="13"/>
                <w:szCs w:val="13"/>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99,200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99,200</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255,615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22,829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22,829</w:t>
            </w:r>
          </w:p>
        </w:tc>
        <w:tc>
          <w:tcPr>
            <w:tcW w:w="100" w:type="dxa"/>
            <w:vAlign w:val="bottom"/>
            <w:shd w:val="clear" w:color="auto" w:fill="CFF0FC"/>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689,922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60"/>
              <w:spacing w:after="0" w:line="157" w:lineRule="exact"/>
              <w:rPr>
                <w:sz w:val="20"/>
                <w:szCs w:val="20"/>
                <w:color w:val="auto"/>
              </w:rPr>
            </w:pPr>
            <w:r>
              <w:rPr>
                <w:rFonts w:ascii="Arial" w:cs="Arial" w:eastAsia="Arial" w:hAnsi="Arial"/>
                <w:sz w:val="14"/>
                <w:szCs w:val="14"/>
                <w:color w:val="auto"/>
              </w:rPr>
              <w:t>(28,802)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(28,802)</w:t>
            </w: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14,025</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13,813</w:t>
            </w:r>
          </w:p>
        </w:tc>
        <w:tc>
          <w:tcPr>
            <w:tcW w:w="100" w:type="dxa"/>
            <w:vAlign w:val="bottom"/>
            <w:shd w:val="clear" w:color="auto" w:fill="CFF0FC"/>
          </w:tcPr>
          <w:p>
            <w:pPr>
              <w:spacing w:after="0"/>
              <w:rPr>
                <w:sz w:val="15"/>
                <w:szCs w:val="15"/>
                <w:color w:val="auto"/>
              </w:rPr>
            </w:pPr>
          </w:p>
        </w:tc>
      </w:tr>
      <w:tr>
        <w:trPr>
          <w:trHeight w:val="176"/>
        </w:trPr>
        <w:tc>
          <w:tcPr>
            <w:tcW w:w="390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(11,386)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(11,386)</w:t>
            </w:r>
          </w:p>
        </w:tc>
      </w:tr>
      <w:tr>
        <w:trPr>
          <w:trHeight w:val="20"/>
        </w:trPr>
        <w:tc>
          <w:tcPr>
            <w:tcW w:w="39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62,147,140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$ 1,788,456</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245,373</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(6,048)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22,355</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$ 2,050,142</w:t>
            </w:r>
          </w:p>
        </w:tc>
        <w:tc>
          <w:tcPr>
            <w:tcW w:w="100" w:type="dxa"/>
            <w:vAlign w:val="bottom"/>
            <w:shd w:val="clear" w:color="auto" w:fill="CFF0FC"/>
          </w:tcPr>
          <w:p>
            <w:pPr>
              <w:spacing w:after="0"/>
              <w:rPr>
                <w:sz w:val="14"/>
                <w:szCs w:val="14"/>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Issuance of stock under Employee Stock</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Purchase 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638,792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19,101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19,101</w:t>
            </w:r>
          </w:p>
        </w:tc>
        <w:tc>
          <w:tcPr>
            <w:tcW w:w="100" w:type="dxa"/>
            <w:vAlign w:val="bottom"/>
          </w:tcPr>
          <w:p>
            <w:pPr>
              <w:spacing w:after="0"/>
              <w:rPr>
                <w:sz w:val="13"/>
                <w:szCs w:val="13"/>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Common stock issued in private placement, net of</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spacing w:after="0" w:line="157" w:lineRule="exact"/>
              <w:rPr>
                <w:sz w:val="20"/>
                <w:szCs w:val="20"/>
                <w:color w:val="auto"/>
              </w:rPr>
            </w:pPr>
            <w:r>
              <w:rPr>
                <w:rFonts w:ascii="Arial" w:cs="Arial" w:eastAsia="Arial" w:hAnsi="Arial"/>
                <w:sz w:val="14"/>
                <w:szCs w:val="14"/>
                <w:color w:val="auto"/>
              </w:rPr>
              <w:t>issuance costs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4,474,559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174,748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174,749</w:t>
            </w:r>
          </w:p>
        </w:tc>
        <w:tc>
          <w:tcPr>
            <w:tcW w:w="100" w:type="dxa"/>
            <w:vAlign w:val="bottom"/>
            <w:shd w:val="clear" w:color="auto" w:fill="CFF0FC"/>
          </w:tcPr>
          <w:p>
            <w:pPr>
              <w:spacing w:after="0"/>
              <w:rPr>
                <w:sz w:val="13"/>
                <w:szCs w:val="13"/>
                <w:color w:val="auto"/>
              </w:rPr>
            </w:pPr>
          </w:p>
        </w:tc>
      </w:tr>
      <w:tr>
        <w:trPr>
          <w:trHeight w:val="175"/>
        </w:trPr>
        <w:tc>
          <w:tcPr>
            <w:tcW w:w="39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98,560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98,560</w:t>
            </w:r>
          </w:p>
        </w:tc>
        <w:tc>
          <w:tcPr>
            <w:tcW w:w="100" w:type="dxa"/>
            <w:vAlign w:val="bottom"/>
          </w:tcPr>
          <w:p>
            <w:pPr>
              <w:spacing w:after="0"/>
              <w:rPr>
                <w:sz w:val="15"/>
                <w:szCs w:val="15"/>
                <w:color w:val="auto"/>
              </w:rPr>
            </w:pPr>
          </w:p>
        </w:tc>
      </w:tr>
      <w:tr>
        <w:trPr>
          <w:trHeight w:val="180"/>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57"/>
        </w:trPr>
        <w:tc>
          <w:tcPr>
            <w:tcW w:w="390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580,846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FF0FC"/>
          </w:tcPr>
          <w:p>
            <w:pPr>
              <w:jc w:val="right"/>
              <w:spacing w:after="0" w:line="157" w:lineRule="exact"/>
              <w:rPr>
                <w:sz w:val="20"/>
                <w:szCs w:val="20"/>
                <w:color w:val="auto"/>
              </w:rPr>
            </w:pPr>
            <w:r>
              <w:rPr>
                <w:rFonts w:ascii="Arial" w:cs="Arial" w:eastAsia="Arial" w:hAnsi="Arial"/>
                <w:sz w:val="14"/>
                <w:szCs w:val="14"/>
                <w:color w:val="auto"/>
              </w:rPr>
              <w:t>25,406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40" w:type="dxa"/>
            <w:vAlign w:val="bottom"/>
            <w:gridSpan w:val="3"/>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25,406</w:t>
            </w:r>
          </w:p>
        </w:tc>
        <w:tc>
          <w:tcPr>
            <w:tcW w:w="100" w:type="dxa"/>
            <w:vAlign w:val="bottom"/>
            <w:shd w:val="clear" w:color="auto" w:fill="CFF0FC"/>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7"/>
        </w:trPr>
        <w:tc>
          <w:tcPr>
            <w:tcW w:w="390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687,796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100" w:type="dxa"/>
            <w:vAlign w:val="bottom"/>
            <w:gridSpan w:val="4"/>
          </w:tcPr>
          <w:p>
            <w:pPr>
              <w:jc w:val="right"/>
              <w:ind w:right="60"/>
              <w:spacing w:after="0" w:line="157" w:lineRule="exact"/>
              <w:rPr>
                <w:sz w:val="20"/>
                <w:szCs w:val="20"/>
                <w:color w:val="auto"/>
              </w:rPr>
            </w:pPr>
            <w:r>
              <w:rPr>
                <w:rFonts w:ascii="Arial" w:cs="Arial" w:eastAsia="Arial" w:hAnsi="Arial"/>
                <w:sz w:val="14"/>
                <w:szCs w:val="14"/>
                <w:color w:val="auto"/>
              </w:rPr>
              <w:t>(13,676)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60"/>
              <w:spacing w:after="0" w:line="157" w:lineRule="exact"/>
              <w:rPr>
                <w:sz w:val="20"/>
                <w:szCs w:val="20"/>
                <w:color w:val="auto"/>
              </w:rPr>
            </w:pPr>
            <w:r>
              <w:rPr>
                <w:rFonts w:ascii="Arial" w:cs="Arial" w:eastAsia="Arial" w:hAnsi="Arial"/>
                <w:sz w:val="14"/>
                <w:szCs w:val="14"/>
                <w:color w:val="auto"/>
              </w:rPr>
              <w:t>(13,676)</w:t>
            </w:r>
          </w:p>
        </w:tc>
      </w:tr>
      <w:tr>
        <w:trPr>
          <w:trHeight w:val="175"/>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3,691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13,410</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17,101</w:t>
            </w:r>
          </w:p>
        </w:tc>
        <w:tc>
          <w:tcPr>
            <w:tcW w:w="100" w:type="dxa"/>
            <w:vAlign w:val="bottom"/>
            <w:shd w:val="clear" w:color="auto" w:fill="CFF0FC"/>
          </w:tcPr>
          <w:p>
            <w:pPr>
              <w:spacing w:after="0"/>
              <w:rPr>
                <w:sz w:val="15"/>
                <w:szCs w:val="15"/>
                <w:color w:val="auto"/>
              </w:rPr>
            </w:pPr>
          </w:p>
        </w:tc>
      </w:tr>
      <w:tr>
        <w:trPr>
          <w:trHeight w:val="175"/>
        </w:trPr>
        <w:tc>
          <w:tcPr>
            <w:tcW w:w="39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comprehensive income, net of tax</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15,851</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15,851</w:t>
            </w:r>
          </w:p>
        </w:tc>
        <w:tc>
          <w:tcPr>
            <w:tcW w:w="100" w:type="dxa"/>
            <w:vAlign w:val="bottom"/>
            <w:tcBorders>
              <w:bottom w:val="single" w:sz="8" w:color="CFF0FC"/>
            </w:tcBorders>
          </w:tcPr>
          <w:p>
            <w:pPr>
              <w:spacing w:after="0"/>
              <w:rPr>
                <w:sz w:val="15"/>
                <w:szCs w:val="15"/>
                <w:color w:val="auto"/>
              </w:rPr>
            </w:pPr>
          </w:p>
        </w:tc>
      </w:tr>
      <w:tr>
        <w:trPr>
          <w:trHeight w:val="169"/>
        </w:trPr>
        <w:tc>
          <w:tcPr>
            <w:tcW w:w="390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2021</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68,529,133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$ 2,092,595</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249,064</w:t>
            </w:r>
          </w:p>
        </w:tc>
        <w:tc>
          <w:tcPr>
            <w:tcW w:w="120" w:type="dxa"/>
            <w:vAlign w:val="bottom"/>
            <w:shd w:val="clear" w:color="auto" w:fill="CFF0FC"/>
          </w:tcPr>
          <w:p>
            <w:pPr>
              <w:spacing w:after="0"/>
              <w:rPr>
                <w:sz w:val="14"/>
                <w:szCs w:val="14"/>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35,765</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$ 2,387,234</w:t>
            </w:r>
          </w:p>
        </w:tc>
        <w:tc>
          <w:tcPr>
            <w:tcW w:w="100" w:type="dxa"/>
            <w:vAlign w:val="bottom"/>
            <w:shd w:val="clear" w:color="auto" w:fill="CFF0FC"/>
          </w:tcPr>
          <w:p>
            <w:pPr>
              <w:spacing w:after="0"/>
              <w:rPr>
                <w:sz w:val="14"/>
                <w:szCs w:val="14"/>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99" w:lineRule="exact"/>
        <w:rPr>
          <w:sz w:val="20"/>
          <w:szCs w:val="20"/>
          <w:color w:val="auto"/>
        </w:rPr>
      </w:pPr>
    </w:p>
    <w:p>
      <w:pPr>
        <w:ind w:right="360" w:firstLine="510"/>
        <w:spacing w:after="0" w:line="246" w:lineRule="auto"/>
        <w:rPr>
          <w:sz w:val="20"/>
          <w:szCs w:val="20"/>
          <w:color w:val="auto"/>
        </w:rPr>
      </w:pPr>
      <w:r>
        <w:rPr>
          <w:rFonts w:ascii="Arial" w:cs="Arial" w:eastAsia="Arial" w:hAnsi="Arial"/>
          <w:sz w:val="18"/>
          <w:szCs w:val="18"/>
          <w:color w:val="auto"/>
        </w:rPr>
        <w:t>Viasat, Inc. (also referred to hereafter as the “Company” or “Viasat”) is an innovator in communications technologies and services, including high-speed and cost-effective broadband and advanced communications products and services.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85"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Viasat, its wholly owned subsidiaries and its majority-owned subsidiary, TrellisWare Technologies, Inc. (TrellisWare). During the third quarter of fiscal year 2019, Viasat Europe Sàrl (formerly known as Euro Broadband Retail Sàrl), which was previously a majority-owned subsidiary, became a wholly owned subsidiary when the Company purchased the remaining 49% interest in the company for an insignificant amount.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85" w:lineRule="exact"/>
        <w:rPr>
          <w:sz w:val="20"/>
          <w:szCs w:val="20"/>
          <w:color w:val="auto"/>
        </w:rPr>
      </w:pPr>
    </w:p>
    <w:p>
      <w:pPr>
        <w:ind w:firstLine="510"/>
        <w:spacing w:after="0" w:line="253"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contingencies and income taxes including the valuation allowance on deferred tax assets.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85"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Company records any unconditional rights to consideration as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40" w:firstLine="510"/>
        <w:spacing w:after="0" w:line="255" w:lineRule="auto"/>
        <w:rPr>
          <w:sz w:val="20"/>
          <w:szCs w:val="20"/>
          <w:color w:val="auto"/>
        </w:rPr>
      </w:pPr>
      <w:r>
        <w:rPr>
          <w:rFonts w:ascii="Arial" w:cs="Arial" w:eastAsia="Arial" w:hAnsi="Arial"/>
          <w:sz w:val="17"/>
          <w:szCs w:val="17"/>
          <w:color w:val="auto"/>
        </w:rPr>
        <w:t>Revenues from the U.S. Government as an individual customer comprised approximately 30%, 30% and 26% of total revenues for fiscal years 2021, 2020 and 2019, respectively. Billed accounts receivable to the U.S. Government as of March 31, 2021 and 2020 were approximately 27% and 35%, respectively, of total billed receivables. In addition, none of the Company’s commercial customers comprised 10% or more of total revenues for fiscal years 2021, 2020 and 2019. The Company’s five largest contracts generated approximately 16%, 18% and 20% of the Company’s total revenues for the fiscal years ended March 31, 2021, March 31, 2020 and March 31, 2019, respectively.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is valued at the lower of cost and net realizable value, cost being determined by the weighted average cost method.</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17 years. Leasehold improvements are capitalized and amortized using the straight-line method over the shorter of the lease term or the life of the improvement.</w:t>
      </w:r>
    </w:p>
    <w:p>
      <w:pPr>
        <w:spacing w:after="0" w:line="200"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consolidated balance sheets.</w:t>
      </w:r>
    </w:p>
    <w:p>
      <w:pPr>
        <w:spacing w:after="0" w:line="14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(Accounting Standards Codification (ASC) 835-20). With respect to the ViaSat-3 class satellites, gateway and networking equipment and other assets under construction, the Company capitalized $81.0 million, $54.1 million and $39.5 million of interest expense for the fiscal years ended March 31, 2021, March 31, 2020 and March 31, 2019, respectively.</w:t>
      </w:r>
    </w:p>
    <w:p>
      <w:pPr>
        <w:spacing w:after="0" w:line="151"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 owns three satellites in service over North America (ViaSat-2, ViaSat-1 and WildBlue-1) and, after acquiring the remaining interest in Euro Infrastructure Co. subsequent to fiscal year end, the Company also owns the KA-SAT satellite over Europe, Middle East, and Africa (EMEA). In addition, the Company has lifetime leases of Ka-band capacity on two satellites. The Company also has a global constellation of three third-generation ViaSat-3 class satellites under construction. In addition, the Company owns related earth stations and networking equipment for all of its satellites. The Company procures indoor and outdoor CPE units leased to subscribers under a retail leasing program as part of the Company’s satellite services segment, which are reflected in investing activities and property, equipment and satellites, net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March 31, 2021 were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$409.9 million and $193.7 million, respectively. The total cost and accumulated depreciation of CPE units included in property, equipment and satellites, net, as of March 31, 2020 were $399.3 million and $165.7 million, respectively.</w:t>
      </w:r>
    </w:p>
    <w:p>
      <w:pPr>
        <w:spacing w:after="0" w:line="143" w:lineRule="exact"/>
        <w:rPr>
          <w:sz w:val="20"/>
          <w:szCs w:val="20"/>
          <w:color w:val="auto"/>
        </w:rPr>
      </w:pPr>
    </w:p>
    <w:p>
      <w:pPr>
        <w:ind w:firstLine="510"/>
        <w:spacing w:after="0" w:line="234"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corrective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fiscal years 2019 and 2020, the Company received an aggregate of $188.0 million of insurance proceeds related to the ViaSat-2 satellite. The ViaSat-2 satellite was primarily financed by the Company’s direct loan facility with the Export-Import Bank of the United States for ViaSat-2 (the Ex-Im Credit Facility) (see Note 6</w:t>
      </w:r>
    </w:p>
    <w:p>
      <w:pPr>
        <w:spacing w:after="0" w:line="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 Senior Notes and Other Long-Term Debt for more information). Pursuant to the terms of the Ex-Im Credit Facility, the proceeds received from the insurance claims for ViaSat-2 were used to pay down outstanding borrowings under the Ex-Im Credit Facility.</w:t>
      </w:r>
    </w:p>
    <w:p>
      <w:pPr>
        <w:spacing w:after="0" w:line="143"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The Company and a Summary of Its Significant Accounting Policies – Leases and Note 5 — Leases for more information).</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81"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 adopted Accounting Standards Update (ASU) 2016-02, Leases, as amended, commonly referred to as ASC 842, on April 1, 2019 using the optional transition method. Under the optional transition method, the Company applied the new guidance to all leases that commenced before and were existing as of April 1, 2019. For contracts entered into on or after April 1, 2019,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51"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ind w:right="200" w:firstLine="8"/>
        <w:spacing w:after="0" w:line="238"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8" w:lineRule="exact"/>
        <w:rPr>
          <w:sz w:val="20"/>
          <w:szCs w:val="20"/>
          <w:color w:val="auto"/>
        </w:rPr>
      </w:pPr>
    </w:p>
    <w:p>
      <w:pPr>
        <w:jc w:val="both"/>
        <w:ind w:right="100" w:firstLine="510"/>
        <w:spacing w:after="0"/>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liability based on the discount rate at lease commencement. For both operating and finance leases, lease payments are allocated between a reduction of the lease liability and interest expense.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For broadband equipment leased to fixed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9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authoritative guidance for business combinations also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$3.5 million and $3.3 million related to patents were included in other assets as of March 31, 2021 and 2020, respectively. The Company capitalized costs of $53.8 million and $39.5 million related to acquiring and obtaining orbital slots and other licenses included in other assets as of March 31, 2021 and 2020, respectively. Accumulated amortization related to these assets was $4.4 million and $3.7 million as of March 31, 2021 and 2020, respectively. Amortization expense related to these assets was an insignificant amount for the fiscal years ended March 31, 2021, 2020 and 2019. If a patent, orbital slot or other license is rejected, abandoned or otherwise invalidated, the unamortized cost is expensed in that period. During fiscal years 2021, 2020 and 2019, the Company did not write off any significant costs due to abandonment or impairment.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fiscal year 2021, $5.1 million of debt issuance costs were capitalized. During fiscal year 2020, no debt issuance costs were capitalized. During fiscal year 2019, $12.2 million of debt issuance costs were capitalized. Unamortized debt issuance costs related to extinguished debt are expensed at the time the debt is extinguished and recorded in loss on extinguishment of debt in the consolidated statements of operations and comprehensive income (loss). Debt issuance costs related to the Company’s revolving credit facility (the Revolving Credit Facility) are recorded in prepaid expenses and other current assets and in other long-term assets in the consolidated balance sheets in accordance with the authoritative guidance for imputation of interest (ASC 835-30). Debt issuance costs related to the Company’s 5.625% Senior Notes due 2025 (the 2025 Notes), the Company’s 5.625% Senior Secured Notes due 2027 (the 2027 Notes), the Company’s 6.500% Senior Notes due 2028 (the 2028 Notes) and the Ex-Im Credit Facility are recorded as a direct deduction from the carrying amount of the related debt, consistent with debt discounts, in accordance with the authoritative guidance for imputation of interest (ASC 835-30).</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software development costs are amortized based on the ratio of current to future revenue for each product with an annual minimum equal to straight-line amortization over the remaining estimated economic life of the product, generally within five years. Capitalized costs, net, of $237.1 million and $242.7 million related to software developed for resale were included in other assets as of March 31, 2021 and 2020, respectively. The Company capitalized $54.0 million and $51.3 million of costs related to software developed for resale for the fiscal years ended March 31, 2021 and 2020, respectively. Amortization expense for capitalized software development costs was $59.6 million, $53.0 million and $45.9 million during fiscal years 2021, 2020 and 2019, respectively.</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the Company for fiscal years 2021, 2020 and 2019.</w:t>
      </w:r>
    </w:p>
    <w:p>
      <w:pPr>
        <w:spacing w:after="0" w:line="149"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Company accounts for its goodwill under the authoritative guidance for goodwill and other intangible assets (ASC 350) and the provisions of ASU 2017-04, Simplifying the Test for Goodwill Impairment, which the Company early adopted in the third quarter of fiscal year 2020. The Company first assesses qualitative factors to determine whether it is necessary to perform the quantitative goodwill impairment test. If, after completing the qualitative assessment, the Company determines that it is more likely than not that the estimated fair value is greater than the carrying value, the Company concludes that no impairment exists. Alternatively, if the Company determines in the qualitative assessment that it is more likely than not that the fair value is less than its carrying value, then the Company performs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The Company tests goodwill for impairment during the fourth quarter every fiscal year and when an event occurs or circumstances change such that it is reasonably possible that an impairment may exist.</w:t>
      </w:r>
    </w:p>
    <w:p>
      <w:pPr>
        <w:spacing w:after="0" w:line="151" w:lineRule="exact"/>
        <w:rPr>
          <w:sz w:val="20"/>
          <w:szCs w:val="20"/>
          <w:color w:val="auto"/>
        </w:rPr>
      </w:pPr>
    </w:p>
    <w:p>
      <w:pPr>
        <w:ind w:right="120" w:firstLine="510"/>
        <w:spacing w:after="0" w:line="237" w:lineRule="auto"/>
        <w:rPr>
          <w:sz w:val="20"/>
          <w:szCs w:val="20"/>
          <w:color w:val="auto"/>
        </w:rPr>
      </w:pPr>
      <w:r>
        <w:rPr>
          <w:rFonts w:ascii="Arial" w:cs="Arial" w:eastAsia="Arial" w:hAnsi="Arial"/>
          <w:sz w:val="18"/>
          <w:szCs w:val="18"/>
          <w:color w:val="auto"/>
        </w:rPr>
        <w:t>In accordance with ASC 350, the Company assesses qualitative factors to determine whether goodwill is impaired. 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51" w:lineRule="exact"/>
        <w:rPr>
          <w:sz w:val="20"/>
          <w:szCs w:val="20"/>
          <w:color w:val="auto"/>
        </w:rPr>
      </w:pPr>
    </w:p>
    <w:p>
      <w:pPr>
        <w:ind w:right="100" w:firstLine="510"/>
        <w:spacing w:after="0" w:line="234" w:lineRule="auto"/>
        <w:rPr>
          <w:sz w:val="20"/>
          <w:szCs w:val="20"/>
          <w:color w:val="auto"/>
        </w:rPr>
      </w:pPr>
      <w:r>
        <w:rPr>
          <w:rFonts w:ascii="Arial" w:cs="Arial" w:eastAsia="Arial" w:hAnsi="Arial"/>
          <w:sz w:val="18"/>
          <w:szCs w:val="18"/>
          <w:color w:val="auto"/>
        </w:rPr>
        <w:t>Based on the Company’s qualitative assessment performed during the fourth quarter of fiscal year 2021, the Company concluded that it was more likely than not that the estimated fair value of the Company’s reporting units exceeded their carrying values as of</w:t>
      </w:r>
    </w:p>
    <w:p>
      <w:pPr>
        <w:spacing w:after="0" w:line="1"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March 31, 2021, and therefore, determined it was not necessary to perform a quantitative impairment analysis. No impairments were recorded by the Company related to goodwill and other intangible assets for fiscal years 2021, 2020 and 2019.</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85" w:lineRule="exact"/>
        <w:rPr>
          <w:sz w:val="20"/>
          <w:szCs w:val="20"/>
          <w:color w:val="auto"/>
        </w:rPr>
      </w:pPr>
    </w:p>
    <w:p>
      <w:pPr>
        <w:ind w:right="60" w:firstLine="510"/>
        <w:spacing w:after="0" w:line="253"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the Company ships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Company estimates the warranty costs based on historical experience with the particular product. For newer products that do not have a history of warranty costs, the Company bases its estimates on its experience with the technology involved and the types of failures that may occur. It is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possible that the Company’s underlying assumptions will not reflect the actual experience, and in that case, the Company will make future adjustments to the recorded warranty obligation (see Note 14 – Product Warranty).</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85"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 – Fair Value Measurements).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right="40" w:firstLine="510"/>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$6.9 million and $6.2 million in accrued and other liabilities in the consolidated balance sheets as of March 31, 2021 and 2020,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85"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2021 and 2020, no such amounts were accrued related to the aforementioned provisions.</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 The Company records its share of the results of such entities within equity in income (loss) of unconsolidated affiliate, net on the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7" w:name="page78"/>
    <w:bookmarkEnd w:id="7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2021 and 2020, the Company had no shares of common stock held in treasury.</w:t>
      </w:r>
    </w:p>
    <w:p>
      <w:pPr>
        <w:spacing w:after="0" w:line="198"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During fiscal years 2021, 2020 and 2019, the Company issued 1,064,680, 1,075,526 and 1,201,502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376,884, 385,604 and 427,088 shares of common stock at cost and with a total value of $13.7 million, $28.8 million and $28.8 million during fiscal years 2021, 2020 and 2019,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85" w:lineRule="exact"/>
        <w:rPr>
          <w:sz w:val="20"/>
          <w:szCs w:val="20"/>
          <w:color w:val="auto"/>
        </w:rPr>
      </w:pPr>
    </w:p>
    <w:p>
      <w:pPr>
        <w:ind w:right="420" w:firstLine="510"/>
        <w:spacing w:after="0" w:line="261" w:lineRule="auto"/>
        <w:rPr>
          <w:sz w:val="20"/>
          <w:szCs w:val="20"/>
          <w:color w:val="auto"/>
        </w:rPr>
      </w:pPr>
      <w:r>
        <w:rPr>
          <w:rFonts w:ascii="Arial" w:cs="Arial" w:eastAsia="Arial" w:hAnsi="Arial"/>
          <w:sz w:val="17"/>
          <w:szCs w:val="17"/>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132"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Other comprehensive income related to the effects of foreign currency translation adjustments attributable to Viasat, Inc. during fiscal year 2021 was $20.4 million, or $15.9 million net of tax. Other comprehensive loss related to the effects of foreign currency translation adjustments attributable to Viasat, Inc. during fiscal year 2020 was $12.8 million, or $11.6 million net of tax. Other comprehensive loss related to the effects of foreign currency translation adjustments attributed to Viasat, Inc. during fiscal year 2019 was $11.8 million, or $10.0 million net of tax.</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Effective April 1, 2018, the Company adopted ASU 2014-09, Revenue from Contracts with Customers (commonly referred to as ASC</w:t>
      </w:r>
    </w:p>
    <w:p>
      <w:pPr>
        <w:ind w:right="200" w:firstLine="8"/>
        <w:spacing w:after="0" w:line="246" w:lineRule="auto"/>
        <w:tabs>
          <w:tab w:leader="none" w:pos="4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using the modified retrospective method of adoption. This update established ASC 606, Revenue from Contracts with Customers and ASC 340-40, Other Assets and Deferred Costs – Contracts with Customers.</w:t>
      </w:r>
    </w:p>
    <w:p>
      <w:pPr>
        <w:spacing w:after="0" w:line="143" w:lineRule="exact"/>
        <w:rPr>
          <w:sz w:val="20"/>
          <w:szCs w:val="20"/>
          <w:color w:val="auto"/>
        </w:rPr>
      </w:pPr>
    </w:p>
    <w:p>
      <w:pPr>
        <w:ind w:right="100" w:firstLine="510"/>
        <w:spacing w:after="0" w:line="237" w:lineRule="auto"/>
        <w:rPr>
          <w:sz w:val="20"/>
          <w:szCs w:val="20"/>
          <w:color w:val="auto"/>
        </w:rPr>
      </w:pPr>
      <w:r>
        <w:rPr>
          <w:rFonts w:ascii="Arial" w:cs="Arial" w:eastAsia="Arial" w:hAnsi="Arial"/>
          <w:sz w:val="18"/>
          <w:szCs w:val="18"/>
          <w:color w:val="auto"/>
        </w:rPr>
        <w:t>The Company applies the five-step model under ASC 606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firstLine="510"/>
        <w:spacing w:after="0" w:line="234"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4" w:lineRule="exact"/>
        <w:rPr>
          <w:sz w:val="20"/>
          <w:szCs w:val="20"/>
          <w:color w:val="auto"/>
        </w:rPr>
      </w:pPr>
    </w:p>
    <w:p>
      <w:pPr>
        <w:jc w:val="both"/>
        <w:ind w:right="20" w:firstLine="8"/>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discussed further above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99"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90" w:lineRule="exact"/>
        <w:rPr>
          <w:sz w:val="20"/>
          <w:szCs w:val="20"/>
          <w:color w:val="auto"/>
        </w:rPr>
      </w:pPr>
    </w:p>
    <w:p>
      <w:pPr>
        <w:ind w:right="200" w:firstLine="510"/>
        <w:spacing w:after="0" w:line="248" w:lineRule="auto"/>
        <w:rPr>
          <w:sz w:val="20"/>
          <w:szCs w:val="20"/>
          <w:color w:val="auto"/>
        </w:rPr>
      </w:pPr>
      <w:r>
        <w:rPr>
          <w:rFonts w:ascii="Arial" w:cs="Arial" w:eastAsia="Arial" w:hAnsi="Arial"/>
          <w:sz w:val="17"/>
          <w:szCs w:val="17"/>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years 2019 or 2020. As of</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March 31, 2021,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Company’s estimates, its profitability would be adversely affected. As of March 31, 2021 and March 31, 2020, the Company had $10.3 million and $7.8 million, respectively, in contract-related reserves for its estimate of potential refunds to customers for potential cost adjustments on several multi-year U.S. Government cost reimbursable contracts (see Note 13 – Contingencies for more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right="40" w:firstLine="510"/>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0" w:lineRule="exact"/>
        <w:rPr>
          <w:sz w:val="20"/>
          <w:szCs w:val="20"/>
          <w:color w:val="auto"/>
        </w:rPr>
      </w:pPr>
    </w:p>
    <w:p>
      <w:pPr>
        <w:ind w:right="320" w:firstLine="510"/>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March 31, 2021, the aggregate amount of the transaction price allocated to remaining performance obligations was $2.3 billion, of which the Company expects to recognize a little over half over the next twelve months, with the balance recognized thereafter.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fiscal years ended</w:t>
      </w:r>
    </w:p>
    <w:p>
      <w:pPr>
        <w:spacing w:after="0"/>
        <w:rPr>
          <w:sz w:val="20"/>
          <w:szCs w:val="20"/>
          <w:color w:val="auto"/>
        </w:rPr>
      </w:pPr>
      <w:r>
        <w:rPr>
          <w:rFonts w:ascii="Arial" w:cs="Arial" w:eastAsia="Arial" w:hAnsi="Arial"/>
          <w:sz w:val="18"/>
          <w:szCs w:val="18"/>
          <w:color w:val="auto"/>
        </w:rPr>
        <w:t>March 31, 2021, 2020 and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Fiscal Year Ended March 31, 2021</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ind w:left="200"/>
              <w:spacing w:after="0" w:line="156" w:lineRule="exact"/>
              <w:rPr>
                <w:sz w:val="20"/>
                <w:szCs w:val="20"/>
                <w:color w:val="auto"/>
              </w:rPr>
            </w:pPr>
            <w:r>
              <w:rPr>
                <w:rFonts w:ascii="Arial" w:cs="Arial" w:eastAsia="Arial" w:hAnsi="Arial"/>
                <w:sz w:val="14"/>
                <w:szCs w:val="14"/>
                <w:b w:val="1"/>
                <w:bCs w:val="1"/>
                <w:color w:val="auto"/>
              </w:rPr>
              <w:t>Satellite</w:t>
            </w:r>
          </w:p>
        </w:tc>
        <w:tc>
          <w:tcPr>
            <w:tcW w:w="220" w:type="dxa"/>
            <w:vAlign w:val="bottom"/>
          </w:tcPr>
          <w:p>
            <w:pPr>
              <w:spacing w:after="0"/>
              <w:rPr>
                <w:sz w:val="13"/>
                <w:szCs w:val="13"/>
                <w:color w:val="auto"/>
              </w:rPr>
            </w:pPr>
          </w:p>
        </w:tc>
        <w:tc>
          <w:tcPr>
            <w:tcW w:w="1600" w:type="dxa"/>
            <w:vAlign w:val="bottom"/>
            <w:gridSpan w:val="2"/>
          </w:tcPr>
          <w:p>
            <w:pPr>
              <w:jc w:val="center"/>
              <w:ind w:right="580"/>
              <w:spacing w:after="0" w:line="156" w:lineRule="exact"/>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3"/>
                <w:szCs w:val="13"/>
                <w:color w:val="auto"/>
              </w:rPr>
            </w:pPr>
          </w:p>
        </w:tc>
        <w:tc>
          <w:tcPr>
            <w:tcW w:w="160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rPr>
              <w:t>Government</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Networks</w:t>
            </w:r>
          </w:p>
        </w:tc>
        <w:tc>
          <w:tcPr>
            <w:tcW w:w="200" w:type="dxa"/>
            <w:vAlign w:val="bottom"/>
          </w:tcPr>
          <w:p>
            <w:pPr>
              <w:spacing w:after="0"/>
              <w:rPr>
                <w:sz w:val="15"/>
                <w:szCs w:val="15"/>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Systems</w:t>
            </w:r>
          </w:p>
        </w:tc>
        <w:tc>
          <w:tcPr>
            <w:tcW w:w="16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Revenues</w:t>
            </w:r>
          </w:p>
        </w:tc>
      </w:tr>
      <w:tr>
        <w:trPr>
          <w:trHeight w:val="169"/>
        </w:trPr>
        <w:tc>
          <w:tcPr>
            <w:tcW w:w="4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268,830</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775,620</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1,044,450</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868,943</w:t>
            </w: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52,026</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290,688</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1,211,657</w:t>
            </w:r>
          </w:p>
        </w:tc>
        <w:tc>
          <w:tcPr>
            <w:tcW w:w="120" w:type="dxa"/>
            <w:vAlign w:val="bottom"/>
            <w:tcBorders>
              <w:bottom w:val="single" w:sz="8" w:color="CFF0FC"/>
            </w:tcBorders>
          </w:tcPr>
          <w:p>
            <w:pPr>
              <w:spacing w:after="0"/>
              <w:rPr>
                <w:sz w:val="18"/>
                <w:szCs w:val="18"/>
                <w:color w:val="auto"/>
              </w:rPr>
            </w:pPr>
          </w:p>
        </w:tc>
      </w:tr>
      <w:tr>
        <w:trPr>
          <w:trHeight w:val="209"/>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868,943</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320,856</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1,066,308</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2,256,107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Fiscal Year Ended March 31, 2020</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ind w:left="200"/>
              <w:spacing w:after="0" w:line="156" w:lineRule="exact"/>
              <w:rPr>
                <w:sz w:val="20"/>
                <w:szCs w:val="20"/>
                <w:color w:val="auto"/>
              </w:rPr>
            </w:pPr>
            <w:r>
              <w:rPr>
                <w:rFonts w:ascii="Arial" w:cs="Arial" w:eastAsia="Arial" w:hAnsi="Arial"/>
                <w:sz w:val="14"/>
                <w:szCs w:val="14"/>
                <w:b w:val="1"/>
                <w:bCs w:val="1"/>
                <w:color w:val="auto"/>
              </w:rPr>
              <w:t>Satellite</w:t>
            </w:r>
          </w:p>
        </w:tc>
        <w:tc>
          <w:tcPr>
            <w:tcW w:w="220" w:type="dxa"/>
            <w:vAlign w:val="bottom"/>
          </w:tcPr>
          <w:p>
            <w:pPr>
              <w:spacing w:after="0"/>
              <w:rPr>
                <w:sz w:val="13"/>
                <w:szCs w:val="13"/>
                <w:color w:val="auto"/>
              </w:rPr>
            </w:pPr>
          </w:p>
        </w:tc>
        <w:tc>
          <w:tcPr>
            <w:tcW w:w="1600" w:type="dxa"/>
            <w:vAlign w:val="bottom"/>
            <w:gridSpan w:val="2"/>
          </w:tcPr>
          <w:p>
            <w:pPr>
              <w:jc w:val="center"/>
              <w:ind w:right="580"/>
              <w:spacing w:after="0" w:line="156" w:lineRule="exact"/>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3"/>
                <w:szCs w:val="13"/>
                <w:color w:val="auto"/>
              </w:rPr>
            </w:pPr>
          </w:p>
        </w:tc>
        <w:tc>
          <w:tcPr>
            <w:tcW w:w="160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rPr>
              <w:t>Government</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Networks</w:t>
            </w:r>
          </w:p>
        </w:tc>
        <w:tc>
          <w:tcPr>
            <w:tcW w:w="200" w:type="dxa"/>
            <w:vAlign w:val="bottom"/>
          </w:tcPr>
          <w:p>
            <w:pPr>
              <w:spacing w:after="0"/>
              <w:rPr>
                <w:sz w:val="15"/>
                <w:szCs w:val="15"/>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Systems</w:t>
            </w:r>
          </w:p>
        </w:tc>
        <w:tc>
          <w:tcPr>
            <w:tcW w:w="16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Revenues</w:t>
            </w:r>
          </w:p>
        </w:tc>
      </w:tr>
      <w:tr>
        <w:trPr>
          <w:trHeight w:val="169"/>
        </w:trPr>
        <w:tc>
          <w:tcPr>
            <w:tcW w:w="4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289,959</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882,582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1,172,541</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826,583</w:t>
            </w: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54,598</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255,516</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1,136,697</w:t>
            </w:r>
          </w:p>
        </w:tc>
        <w:tc>
          <w:tcPr>
            <w:tcW w:w="120" w:type="dxa"/>
            <w:vAlign w:val="bottom"/>
            <w:tcBorders>
              <w:bottom w:val="single" w:sz="8" w:color="CFF0FC"/>
            </w:tcBorders>
          </w:tcPr>
          <w:p>
            <w:pPr>
              <w:spacing w:after="0"/>
              <w:rPr>
                <w:sz w:val="18"/>
                <w:szCs w:val="18"/>
                <w:color w:val="auto"/>
              </w:rPr>
            </w:pPr>
          </w:p>
        </w:tc>
      </w:tr>
      <w:tr>
        <w:trPr>
          <w:trHeight w:val="209"/>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826,583</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344,557</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1,138,098</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2,309,238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Fiscal Year Ended March 31, 2019</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ind w:left="200"/>
              <w:spacing w:after="0" w:line="156" w:lineRule="exact"/>
              <w:rPr>
                <w:sz w:val="20"/>
                <w:szCs w:val="20"/>
                <w:color w:val="auto"/>
              </w:rPr>
            </w:pPr>
            <w:r>
              <w:rPr>
                <w:rFonts w:ascii="Arial" w:cs="Arial" w:eastAsia="Arial" w:hAnsi="Arial"/>
                <w:sz w:val="14"/>
                <w:szCs w:val="14"/>
                <w:b w:val="1"/>
                <w:bCs w:val="1"/>
                <w:color w:val="auto"/>
              </w:rPr>
              <w:t>Satellite</w:t>
            </w:r>
          </w:p>
        </w:tc>
        <w:tc>
          <w:tcPr>
            <w:tcW w:w="220" w:type="dxa"/>
            <w:vAlign w:val="bottom"/>
          </w:tcPr>
          <w:p>
            <w:pPr>
              <w:spacing w:after="0"/>
              <w:rPr>
                <w:sz w:val="13"/>
                <w:szCs w:val="13"/>
                <w:color w:val="auto"/>
              </w:rPr>
            </w:pPr>
          </w:p>
        </w:tc>
        <w:tc>
          <w:tcPr>
            <w:tcW w:w="1600" w:type="dxa"/>
            <w:vAlign w:val="bottom"/>
            <w:gridSpan w:val="2"/>
          </w:tcPr>
          <w:p>
            <w:pPr>
              <w:jc w:val="center"/>
              <w:ind w:right="580"/>
              <w:spacing w:after="0" w:line="156" w:lineRule="exact"/>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3"/>
                <w:szCs w:val="13"/>
                <w:color w:val="auto"/>
              </w:rPr>
            </w:pPr>
          </w:p>
        </w:tc>
        <w:tc>
          <w:tcPr>
            <w:tcW w:w="1600" w:type="dxa"/>
            <w:vAlign w:val="bottom"/>
            <w:gridSpan w:val="2"/>
          </w:tcPr>
          <w:p>
            <w:pPr>
              <w:jc w:val="center"/>
              <w:ind w:right="540"/>
              <w:spacing w:after="0" w:line="156" w:lineRule="exact"/>
              <w:rPr>
                <w:sz w:val="20"/>
                <w:szCs w:val="20"/>
                <w:color w:val="auto"/>
              </w:rPr>
            </w:pPr>
            <w:r>
              <w:rPr>
                <w:rFonts w:ascii="Arial" w:cs="Arial" w:eastAsia="Arial" w:hAnsi="Arial"/>
                <w:sz w:val="14"/>
                <w:szCs w:val="14"/>
                <w:b w:val="1"/>
                <w:bCs w:val="1"/>
                <w:color w:val="auto"/>
              </w:rPr>
              <w:t>Government</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5"/>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5"/>
                <w:szCs w:val="15"/>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Networks</w:t>
            </w:r>
          </w:p>
        </w:tc>
        <w:tc>
          <w:tcPr>
            <w:tcW w:w="200" w:type="dxa"/>
            <w:vAlign w:val="bottom"/>
          </w:tcPr>
          <w:p>
            <w:pPr>
              <w:spacing w:after="0"/>
              <w:rPr>
                <w:sz w:val="15"/>
                <w:szCs w:val="15"/>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Systems</w:t>
            </w:r>
          </w:p>
        </w:tc>
        <w:tc>
          <w:tcPr>
            <w:tcW w:w="160" w:type="dxa"/>
            <w:vAlign w:val="bottom"/>
          </w:tcPr>
          <w:p>
            <w:pPr>
              <w:spacing w:after="0"/>
              <w:rPr>
                <w:sz w:val="15"/>
                <w:szCs w:val="15"/>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Revenues</w:t>
            </w:r>
          </w:p>
        </w:tc>
      </w:tr>
      <w:tr>
        <w:trPr>
          <w:trHeight w:val="169"/>
        </w:trPr>
        <w:tc>
          <w:tcPr>
            <w:tcW w:w="4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gridSpan w:val="5"/>
          </w:tcPr>
          <w:p>
            <w:pPr>
              <w:jc w:val="center"/>
              <w:ind w:right="5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383,547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709,144</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1,092,691</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684,205</w:t>
            </w: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44,857</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246,505</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975,567</w:t>
            </w:r>
          </w:p>
        </w:tc>
        <w:tc>
          <w:tcPr>
            <w:tcW w:w="120" w:type="dxa"/>
            <w:vAlign w:val="bottom"/>
            <w:tcBorders>
              <w:bottom w:val="single" w:sz="8" w:color="CFF0FC"/>
            </w:tcBorders>
          </w:tcPr>
          <w:p>
            <w:pPr>
              <w:spacing w:after="0"/>
              <w:rPr>
                <w:sz w:val="18"/>
                <w:szCs w:val="18"/>
                <w:color w:val="auto"/>
              </w:rPr>
            </w:pPr>
          </w:p>
        </w:tc>
      </w:tr>
      <w:tr>
        <w:trPr>
          <w:trHeight w:val="210"/>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684,205</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428,404</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955,649</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Revenues from the U.S. Government as an individual customer comprised approximately, 30%, 30% and 26% of total revenues for the fiscal years ended March 31, 2021, 2020 and 2019, respectively, mainly reported within the government systems segment. Revenues from the Company’s other customers, mainly reported within the commercial networks and satellite services segments, comprised approximately 70%, 70% and 74% of total revenues for the fiscal years ended March 31, 2021, 2020 and 2019, respectively.</w:t>
      </w:r>
    </w:p>
    <w:p>
      <w:pPr>
        <w:spacing w:after="0" w:line="191"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and in-flight services.</w:t>
      </w:r>
    </w:p>
    <w:p>
      <w:pPr>
        <w:spacing w:after="0" w:line="183" w:lineRule="exact"/>
        <w:rPr>
          <w:sz w:val="20"/>
          <w:szCs w:val="20"/>
          <w:color w:val="auto"/>
        </w:rPr>
      </w:pPr>
    </w:p>
    <w:p>
      <w:pPr>
        <w:ind w:right="180" w:firstLine="510"/>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89%, 88% and 90% of the Company’s total revenues for these segments for the fiscal years ended March 31, 2021, 2020 and 2019,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4"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23%, 24% and 19% of its total revenues for the fiscal years ended March 31, 2021, 2020 and 2019,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89"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March 31, 2021 and March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jc w:val="center"/>
              <w:ind w:right="440"/>
              <w:spacing w:after="0"/>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As of</w:t>
            </w:r>
          </w:p>
        </w:tc>
      </w:tr>
      <w:tr>
        <w:trPr>
          <w:trHeight w:val="162"/>
        </w:trPr>
        <w:tc>
          <w:tcPr>
            <w:tcW w:w="5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tcPr>
          <w:p>
            <w:pPr>
              <w:jc w:val="center"/>
              <w:ind w:right="460"/>
              <w:spacing w:after="0"/>
              <w:rPr>
                <w:sz w:val="20"/>
                <w:szCs w:val="20"/>
                <w:color w:val="auto"/>
              </w:rPr>
            </w:pPr>
            <w:r>
              <w:rPr>
                <w:rFonts w:ascii="Arial" w:cs="Arial" w:eastAsia="Arial" w:hAnsi="Arial"/>
                <w:sz w:val="14"/>
                <w:szCs w:val="14"/>
                <w:b w:val="1"/>
                <w:bCs w:val="1"/>
                <w:color w:val="auto"/>
              </w:rPr>
              <w:t>March 31,</w:t>
            </w:r>
          </w:p>
        </w:tc>
        <w:tc>
          <w:tcPr>
            <w:tcW w:w="66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5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440"/>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69"/>
        </w:trPr>
        <w:tc>
          <w:tcPr>
            <w:tcW w:w="5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70,785</w:t>
            </w:r>
          </w:p>
        </w:tc>
        <w:tc>
          <w:tcPr>
            <w:tcW w:w="6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75,661</w:t>
            </w:r>
          </w:p>
        </w:tc>
        <w:tc>
          <w:tcPr>
            <w:tcW w:w="12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jc w:val="right"/>
              <w:ind w:right="80"/>
              <w:spacing w:after="0"/>
              <w:rPr>
                <w:sz w:val="20"/>
                <w:szCs w:val="20"/>
                <w:color w:val="auto"/>
              </w:rPr>
            </w:pPr>
            <w:r>
              <w:rPr>
                <w:rFonts w:ascii="Arial" w:cs="Arial" w:eastAsia="Arial" w:hAnsi="Arial"/>
                <w:sz w:val="18"/>
                <w:szCs w:val="18"/>
                <w:color w:val="auto"/>
              </w:rPr>
              <w:t>216,594</w:t>
            </w:r>
          </w:p>
        </w:tc>
        <w:tc>
          <w:tcPr>
            <w:tcW w:w="6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123,019</w:t>
            </w:r>
          </w:p>
        </w:tc>
        <w:tc>
          <w:tcPr>
            <w:tcW w:w="120" w:type="dxa"/>
            <w:vAlign w:val="bottom"/>
          </w:tcPr>
          <w:p>
            <w:pPr>
              <w:spacing w:after="0"/>
              <w:rPr>
                <w:sz w:val="18"/>
                <w:szCs w:val="18"/>
                <w:color w:val="auto"/>
              </w:rPr>
            </w:pPr>
          </w:p>
        </w:tc>
      </w:tr>
      <w:tr>
        <w:trPr>
          <w:trHeight w:val="21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84,654</w:t>
            </w:r>
          </w:p>
        </w:tc>
        <w:tc>
          <w:tcPr>
            <w:tcW w:w="6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80,802</w:t>
            </w:r>
          </w:p>
        </w:tc>
        <w:tc>
          <w:tcPr>
            <w:tcW w:w="12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900" w:firstLine="510"/>
        <w:spacing w:after="0" w:line="246" w:lineRule="auto"/>
        <w:rPr>
          <w:sz w:val="20"/>
          <w:szCs w:val="20"/>
          <w:color w:val="auto"/>
        </w:rPr>
      </w:pPr>
      <w:r>
        <w:rPr>
          <w:rFonts w:ascii="Arial" w:cs="Arial" w:eastAsia="Arial" w:hAnsi="Arial"/>
          <w:sz w:val="18"/>
          <w:szCs w:val="18"/>
          <w:color w:val="auto"/>
        </w:rPr>
        <w:t>Unbilled accounts receivable decreased $4.9 million during fiscal year 2021, primarily driven by an increase in billings in the Company’s government systems segment.</w:t>
      </w:r>
    </w:p>
    <w:p>
      <w:pPr>
        <w:spacing w:after="0" w:line="183"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Collections in excess of revenues and deferred revenues increased $93.6 million during fiscal year 2021, primarily driven by advances on goods or services received in excess of revenue recognized mainly in the Company’s commercial networks segment, but also in the Company’s government systems segment.</w:t>
      </w:r>
    </w:p>
    <w:p>
      <w:pPr>
        <w:spacing w:after="0" w:line="189" w:lineRule="exact"/>
        <w:rPr>
          <w:sz w:val="20"/>
          <w:szCs w:val="20"/>
          <w:color w:val="auto"/>
        </w:rPr>
      </w:pPr>
    </w:p>
    <w:p>
      <w:pPr>
        <w:jc w:val="both"/>
        <w:ind w:right="240" w:firstLine="510"/>
        <w:spacing w:after="0" w:line="238" w:lineRule="auto"/>
        <w:rPr>
          <w:sz w:val="20"/>
          <w:szCs w:val="20"/>
          <w:color w:val="auto"/>
        </w:rPr>
      </w:pPr>
      <w:r>
        <w:rPr>
          <w:rFonts w:ascii="Arial" w:cs="Arial" w:eastAsia="Arial" w:hAnsi="Arial"/>
          <w:sz w:val="18"/>
          <w:szCs w:val="18"/>
          <w:color w:val="auto"/>
        </w:rPr>
        <w:t>During the fiscal year ended March 31, 2021, the Company recognized revenue of $98.6 million that was previously included in the Company’s collections in excess of revenues and deferred revenues at March 31, 2020. During the fiscal year ended March 31, 2020, the Company recognized revenue of $93.1 million related to the Company’s collections in excess of revenues and deferred revenues at March 31, 2019.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95"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Per ASC 340-40, Other Assets and Deferred Costs – Contracts with Customers, the Company recognizes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Adoption of the standard has resulted in the recognition of an asset related to commission costs incurred primarily in the Company’s satellite services segment, and recognition of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$ 60.4 million and $24.2 million, respectively as of March 31, 2021. Of the Company’s total deferred customer contract acquisition costs and costs to fulfill contracts, $26.8 million was included in prepaid expenses and other current assets and $57.8 million was included in other assets on the Company’s consolidated balance sheet as of March 31, 2021. The Company’s deferred customer contract acquisition costs and costs to fulfill contract balances were $58.1 million and $18.9 million, respectively, as of March 31, 2020. Of the Company’s total deferred customer contract acquisition costs and costs to fulfill contracts, $23.5 million was included in prepaid expenses and other current assets and $53.5 million was included in other assets on the Company’s consolidated balance sheet as of March 31, 2020. For total deferred customer contract acquisition costs and contract fulfillment costs, the Company’s amortization and reduction of carrying value associated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with contract termination was $50.5 million, $46.4 million and $41.6 million for the fiscal years ended March 31, 2021, March 31, 2020 and March 31, 2019, respectively.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85" w:lineRule="exact"/>
        <w:rPr>
          <w:sz w:val="20"/>
          <w:szCs w:val="20"/>
          <w:color w:val="auto"/>
        </w:rPr>
      </w:pPr>
    </w:p>
    <w:p>
      <w:pPr>
        <w:jc w:val="both"/>
        <w:ind w:right="420" w:firstLine="510"/>
        <w:spacing w:after="0"/>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Advertising expenses for fiscal years 2021, 2020 and 2019 were $12.0 million, $25.8 million and $37.8 million, respectively.</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0"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recognizes excess tax benefits or deficiencies on vesting or settlement of awards as discrete items within income tax benefit or provision within net income (loss) and the related cash flows classified within operating activities.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85" w:lineRule="exact"/>
        <w:rPr>
          <w:sz w:val="20"/>
          <w:szCs w:val="20"/>
          <w:color w:val="auto"/>
        </w:rPr>
      </w:pPr>
    </w:p>
    <w:p>
      <w:pPr>
        <w:jc w:val="both"/>
        <w:ind w:right="60" w:firstLine="510"/>
        <w:spacing w:after="0"/>
        <w:rPr>
          <w:sz w:val="20"/>
          <w:szCs w:val="20"/>
          <w:color w:val="auto"/>
        </w:rPr>
      </w:pPr>
      <w:r>
        <w:rPr>
          <w:rFonts w:ascii="Arial" w:cs="Arial" w:eastAsia="Arial" w:hAnsi="Arial"/>
          <w:sz w:val="18"/>
          <w:szCs w:val="18"/>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right="80" w:firstLine="510"/>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9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Company’s analysis of the need for a valuation allowance on deferred tax assets considered historical as well as forecasted future operating results. In addition, the Company’s evaluation considered other factors, including the Company’s contractual backlog, history of positive earnings, current earnings trends assuming the Company’s satellite services segment continues to grow, taxable income adjusted for certain items, and forecasted income by jurisdiction. The Company also considered the period over which these net deferred tax assets can be realized and the Company’s history of not having federal tax loss carryforwards expire unused.</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85"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(including TSR performance stock options) and restricted stock units awarded under the Company’s equity compensation plan which are included in the earnings per share calculations using the treasury stock method, common shares expected to be issued under the Company’s employee stock purchase plan, and shares potentially issuable under the Viasat 401(k) Profit Sharing Plan in connection with the Company’s decision to pay a discretionary match in common stock or cash.</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9"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Company’s reporting segments, namely its satellite services, commercial networks and government systems segments, are primarily distinguished by the type of customer and the related contractual requirements. The Company’s satellite services segment provides satellite-based broadband services to customers,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 (see Note 15 – Segment Information).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9"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model). It also modifies the impairment model for available-for-sale debt securities and provides for a simplified accounting model for purchased financial assets with credit deterioration since their origination. In November 2018, the FASB issued ASU 2018-19, Codification Improvements to ASC 326, Financial Instruments — Credit Losses (ASC 326), which clarifies that impairment of receivables arising from operating leases should be accounted for in accordance with ASC 842, Leases. In April 2019, the FASB issued ASU 2019-04, Codification Improvements to ASC 326, Financial Instruments — Credit Losses, in May 2019, the FASB issued ASU 2019-05, Financial Instruments — Credit Losses (ASC 326) Targeted Relief, in November 2019, the FASB issued ASU 2019-11, Codification Improvements to ASC 326, Financial Instruments — Credit Losses, in February 2020, the FASB issued ASU 2020-02, Financial Instruments — Credit Losses (ASC 326) and Leases (ASC 842) Amendments to SEC Paragraphs Pursuant to SEC Staff Accounting Bulletin No. 119 and Update to SEC Section on Effective Date Related to ASU 2016-02, Leases (ASC 842) and in March 2020, the FASB issued ASU 2020-03, Codification Improvements to Financial Instruments. These recently issued ASUs do not change the core principle of the guidance in ASU 2016-13 but rather are intended to clarify and improve operability of certain topics included within ASU 2016-13. ASU 2018-19, ASU 2019-04, ASU 2019-05, ASU 2019-11, ASU 2020-02, and ASU 2020-03 have the same effective date and transition requirements as ASU 2016-13. The Company adopted the new guidance in the first quarter of fiscal year 2021 using the modified retrospective basis approach with application of the model to the Company’s accounts receivables. Under the new guidance, the Company is required to recognize estimated credit losses expected to occur over the estimated life or remaining contractual life of an asset using a broader range of information including past events, current conditions and consideration of supportable forecasts about future economic conditions. The adoption of this guidance had an insignificant impact on the Company’s consolidated financial statements and disclosures.</w:t>
      </w:r>
    </w:p>
    <w:p>
      <w:pPr>
        <w:spacing w:after="0" w:line="199" w:lineRule="exact"/>
        <w:rPr>
          <w:sz w:val="20"/>
          <w:szCs w:val="20"/>
          <w:color w:val="auto"/>
        </w:rPr>
      </w:pPr>
    </w:p>
    <w:p>
      <w:pPr>
        <w:ind w:right="40" w:firstLine="510"/>
        <w:spacing w:after="0" w:line="238"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Company adopted the new guidance in the first quarter of fiscal year 2021 and the guidance did not have a material impact on the Company’s consolidated financial statements and disclosures.</w:t>
      </w:r>
    </w:p>
    <w:p>
      <w:pPr>
        <w:spacing w:after="0" w:line="151" w:lineRule="exact"/>
        <w:rPr>
          <w:sz w:val="20"/>
          <w:szCs w:val="20"/>
          <w:color w:val="auto"/>
        </w:rPr>
      </w:pPr>
    </w:p>
    <w:p>
      <w:pPr>
        <w:ind w:right="80" w:firstLine="510"/>
        <w:spacing w:after="0" w:line="238" w:lineRule="auto"/>
        <w:rPr>
          <w:sz w:val="20"/>
          <w:szCs w:val="20"/>
          <w:color w:val="auto"/>
        </w:rPr>
      </w:pPr>
      <w:r>
        <w:rPr>
          <w:rFonts w:ascii="Arial" w:cs="Arial" w:eastAsia="Arial" w:hAnsi="Arial"/>
          <w:sz w:val="18"/>
          <w:szCs w:val="18"/>
          <w:color w:val="auto"/>
        </w:rPr>
        <w:t>In December 2019, the FASB issued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ASU 2019-12 is effective for the Company beginning in fiscal year 2022. The Company is currently evaluating the impact of this standard on its consolidated financial statements and disclosures.</w:t>
      </w:r>
    </w:p>
    <w:p>
      <w:pPr>
        <w:spacing w:after="0" w:line="148"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In January 2020, the FASB issued ASU 2020-01, Investments – Equity Securities (ASC 321), Investments – Equity Method and Joint Ventures (ASC 323) and Derivatives and Hedging (ASC 815). ASU 2020-01 clarifies the interaction of the accounting for equity securities under ASC 321 and investments accounted for under the equity method of accounting under ASC 323, and the accounting for certain forward contracts and purchased options accounted for under ASC 815.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new standard will become effective for the Company beginning in fiscal year 2022. The Company is currently evaluating the impact of this standard on its consolidated financial statements and disclosures.</w:t>
      </w:r>
    </w:p>
    <w:p>
      <w:pPr>
        <w:spacing w:after="0" w:line="143" w:lineRule="exact"/>
        <w:rPr>
          <w:sz w:val="20"/>
          <w:szCs w:val="20"/>
          <w:color w:val="auto"/>
        </w:rPr>
      </w:pPr>
    </w:p>
    <w:p>
      <w:pPr>
        <w:ind w:right="20" w:firstLine="510"/>
        <w:spacing w:after="0" w:line="248" w:lineRule="auto"/>
        <w:rPr>
          <w:sz w:val="20"/>
          <w:szCs w:val="20"/>
          <w:color w:val="auto"/>
        </w:rPr>
      </w:pPr>
      <w:r>
        <w:rPr>
          <w:rFonts w:ascii="Arial" w:cs="Arial" w:eastAsia="Arial" w:hAnsi="Arial"/>
          <w:sz w:val="17"/>
          <w:szCs w:val="17"/>
          <w:color w:val="auto"/>
        </w:rPr>
        <w:t>In March 2020, the FASB issued ASU 2020-04, Reference Rate Reform (ASC 848): Facilitation of the Effects of Reference Rate Reform on Financial Reporting. ASU 2020-04 provides temporary optional guidance to ease the potential accounting burden associated with the transition away from reference rates (such as the London Interbank Offered Rate) that are expected to be discontinued. In January 2021, the FASB issued ASU 2021-01, Reference Rate Reform (Topic 848), which clarifies the scope and application of the guidance in ASU 2020-</w:t>
      </w:r>
    </w:p>
    <w:p>
      <w:pPr>
        <w:spacing w:after="0" w:line="2" w:lineRule="exact"/>
        <w:rPr>
          <w:sz w:val="20"/>
          <w:szCs w:val="20"/>
          <w:color w:val="auto"/>
        </w:rPr>
      </w:pPr>
    </w:p>
    <w:p>
      <w:pPr>
        <w:ind w:right="40" w:firstLine="8"/>
        <w:spacing w:after="0" w:line="238" w:lineRule="auto"/>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ASU 2021-01 clarifies that certain optional expedients and exceptions in ASU 2020-04 and Topic 848 for contract modifications and hedge accounting apply to derivatives that are affected by the discounting transition. The guidance in ASU 2020-04 and ASU 2021-01 are both effective upon issuance through December 31, 2022. The new guidance did not have a material impact on the Company’s consolidated financial statements and disclosures.</w:t>
      </w:r>
    </w:p>
    <w:p>
      <w:pPr>
        <w:spacing w:after="0" w:line="151"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In May 2020, the Securities and Exchange Commission (SEC) adopted Amendments to Financial Disclosures about Acquired and Disposed Businesses (the Final Rule). The Final Rule amends SEC rules related to separate financial statements of acquired businesses, and, among other things, revises the income test by adding a revenue component, which is one of the tests used to determine whether a subsidiary of an acquired or disposed business is significant. The Final Rule reduces the anomalous result that registrants with marginal or break-even net income (loss) may be more likely to have subsidiaries deemed significant where they otherwise would not. The Final Rule became effective on January 1, 2021, with early adoption permitted. The Company early adopted the provisions of the Final Rule in the first quarter of fiscal year 2021. The guidance did not have a material impact on the Company’s consolidated financial statements and disclosures.</w:t>
      </w:r>
    </w:p>
    <w:p>
      <w:pPr>
        <w:spacing w:after="0" w:line="154" w:lineRule="exact"/>
        <w:rPr>
          <w:sz w:val="20"/>
          <w:szCs w:val="20"/>
          <w:color w:val="auto"/>
        </w:rPr>
      </w:pPr>
    </w:p>
    <w:p>
      <w:pPr>
        <w:ind w:right="120" w:firstLine="510"/>
        <w:spacing w:after="0" w:line="236" w:lineRule="auto"/>
        <w:rPr>
          <w:sz w:val="20"/>
          <w:szCs w:val="20"/>
          <w:color w:val="auto"/>
        </w:rPr>
      </w:pPr>
      <w:r>
        <w:rPr>
          <w:rFonts w:ascii="Arial" w:cs="Arial" w:eastAsia="Arial" w:hAnsi="Arial"/>
          <w:sz w:val="18"/>
          <w:szCs w:val="18"/>
          <w:color w:val="auto"/>
        </w:rPr>
        <w:t>In August 2020, the FASB issued ASU 2020-06, Debt – Debt with Conversion and Other Options (ASC 470-20) and Derivatives and Hedging – Contracts in Entity’s Own Equity (Subtopic 815-40). ASU 2020-06 simplifies the accounting for convertible instruments by removing the beneficial conversion and cash conversion accounting models for convertible instruments and removes certain settlement conditions that are required for contracts to qualify for equity classification. This new standard also simplifies the diluted earnings per share calculations by requiring that an entity use the if-converted method for convertible instruments and requires that the effect of potential share settlement be included in diluted earnings per share calculations when an instrument may be settled in cash or shares. The new standard requires entities to provide expanded disclosures about the terms and features of convertible instruments, how the instruments have been reported in the entity’s financial statements, and information about events, conditions, and circumstances that can affect how to assess the amount or timing of an entity’s future cash flows related to those instruments. The new standard will become effective for the Company beginning in fiscal year 2023, with early adoption permitted, but no earlier than fiscal year 2022. The Company is currently evaluating the impact of this standard on its consolidated financial statements and disclosures.</w:t>
      </w:r>
    </w:p>
    <w:p>
      <w:pPr>
        <w:spacing w:after="0" w:line="151" w:lineRule="exact"/>
        <w:rPr>
          <w:sz w:val="20"/>
          <w:szCs w:val="20"/>
          <w:color w:val="auto"/>
        </w:rPr>
      </w:pPr>
    </w:p>
    <w:p>
      <w:pPr>
        <w:ind w:right="140" w:firstLine="510"/>
        <w:spacing w:after="0" w:line="238" w:lineRule="auto"/>
        <w:rPr>
          <w:sz w:val="20"/>
          <w:szCs w:val="20"/>
          <w:color w:val="auto"/>
        </w:rPr>
      </w:pPr>
      <w:r>
        <w:rPr>
          <w:rFonts w:ascii="Arial" w:cs="Arial" w:eastAsia="Arial" w:hAnsi="Arial"/>
          <w:sz w:val="18"/>
          <w:szCs w:val="18"/>
          <w:color w:val="auto"/>
        </w:rPr>
        <w:t>In October 2020, the FASB issued ASU 2020-08, Codification Improvements to Subtopic 310-20, Receivables – Nonrefundable Fees and Other Costs. ASU 2020-08 clarifies that a company should reevaluate whether a callable debt security is within the scope of ASC paragraph 310 -20-35-33 for each reporting period. The new standard will become effective for the Company beginning in fiscal year 2022. The Company is currently evaluating the impact of this standard on its consolidated financial statements and disclosures.</w:t>
      </w:r>
    </w:p>
    <w:p>
      <w:pPr>
        <w:spacing w:after="0" w:line="151"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October 2020, the FASB issued ASU 2020-09, Debt (ASC 740) to update the SEC guidance in the Codification related to the Final Rule (issued in March 2020). The SEC guidance in the Codification has updated financial disclosures about guarantors and issuers of guaranteed securities and affiliates whose securities collateralize a registrant’s securities. The final rules, among other things, allow omission of financial statements with respect to guaranteed securities when certain criteria are met and became effective on January 4, 2021. The guidance does not have a material impact on the Company’s consolidated financial statements and disclosures.</w:t>
      </w:r>
    </w:p>
    <w:p>
      <w:pPr>
        <w:spacing w:after="0" w:line="148"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In October 2020, the FASB issued ASU 2020-10, Codification Improvements, which is related to a project by the FASB to facilitate codification updates for technical corrections, clarifications and other minor improvements that are not expected to have a significant effect on current accounting practice or create a significant administrative cost to most entities. The new standard contains amendments that affect a wide variety of topics in the ASC. The various amendments in this new standard will become effective for the Company beginning in fiscal year 2022, with early adoption permitted. The Company early adopted this guidance beginning in the fourth quarter of fiscal year 2021 and the guidance did not have a material impact on the Company’s consolidated financial statements and disclosures.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3"/>
                <w:szCs w:val="13"/>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65"/>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March 31, 2021</w:t>
            </w:r>
          </w:p>
        </w:tc>
        <w:tc>
          <w:tcPr>
            <w:tcW w:w="18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March 31, 2020</w:t>
            </w: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gridSpan w:val="4"/>
          </w:tcPr>
          <w:p>
            <w:pPr>
              <w:jc w:val="right"/>
              <w:ind w:right="1173"/>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3"/>
                <w:szCs w:val="13"/>
                <w:color w:val="auto"/>
              </w:rPr>
              <w:t>Accounts receivable, net:</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Billed</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172,559</w:t>
            </w:r>
          </w:p>
        </w:tc>
        <w:tc>
          <w:tcPr>
            <w:tcW w:w="2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260,431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Unbilled</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70,785</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75,661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Allowance for doubtful accounts</w:t>
            </w:r>
          </w:p>
        </w:tc>
        <w:tc>
          <w:tcPr>
            <w:tcW w:w="200" w:type="dxa"/>
            <w:vAlign w:val="bottom"/>
          </w:tcPr>
          <w:p>
            <w:pPr>
              <w:spacing w:after="0"/>
              <w:rPr>
                <w:sz w:val="14"/>
                <w:szCs w:val="14"/>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3"/>
                <w:szCs w:val="13"/>
                <w:color w:val="auto"/>
              </w:rPr>
              <w:t>(4,692)</w:t>
            </w:r>
          </w:p>
        </w:tc>
        <w:tc>
          <w:tcPr>
            <w:tcW w:w="18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3"/>
                <w:szCs w:val="13"/>
                <w:color w:val="auto"/>
              </w:rPr>
              <w:t>(5,394)</w:t>
            </w:r>
          </w:p>
        </w:tc>
        <w:tc>
          <w:tcPr>
            <w:tcW w:w="0" w:type="dxa"/>
            <w:vAlign w:val="bottom"/>
          </w:tcPr>
          <w:p>
            <w:pPr>
              <w:spacing w:after="0"/>
              <w:rPr>
                <w:sz w:val="1"/>
                <w:szCs w:val="1"/>
                <w:color w:val="auto"/>
              </w:rPr>
            </w:pPr>
          </w:p>
        </w:tc>
      </w:tr>
      <w:tr>
        <w:trPr>
          <w:trHeight w:val="156"/>
        </w:trPr>
        <w:tc>
          <w:tcPr>
            <w:tcW w:w="77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238,652</w:t>
            </w:r>
          </w:p>
        </w:tc>
        <w:tc>
          <w:tcPr>
            <w:tcW w:w="28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330,698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color w:val="auto"/>
              </w:rPr>
              <w:t>Inventories: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Raw materials</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98,338</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83,353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Work in process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71,875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59,429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Finished goods</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166,459</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151,634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336,672</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294,416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Prepaid expenses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94,405</w:t>
            </w:r>
          </w:p>
        </w:tc>
        <w:tc>
          <w:tcPr>
            <w:tcW w:w="2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84,872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25,555</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31,409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119,960</w:t>
            </w:r>
          </w:p>
        </w:tc>
        <w:tc>
          <w:tcPr>
            <w:tcW w:w="2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116,281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Property, equipment and satellites, net:</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Equipment and software (estimated useful life of 3-7 years)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1,505,697</w:t>
            </w:r>
          </w:p>
        </w:tc>
        <w:tc>
          <w:tcPr>
            <w:tcW w:w="2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1,229,926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CPE leased equipment (estimated useful life of 4-5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409,942</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399,343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Furniture and fixtures (estimated useful life of 7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57,433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54,688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Leasehold improvements (estimated useful life of 2-17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149,324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137,287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Building (estimated useful life of 12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8,923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8,923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Land</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Construction in progress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219,482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220,703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Satellites (estimated useful life of 12-17 years)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969,952</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969,952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Satellite Ka-band capacity obtained under finance leases (estimated useful life of 7-11 years)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173,467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171,801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Satellites under construction</w:t>
            </w:r>
          </w:p>
        </w:tc>
        <w:tc>
          <w:tcPr>
            <w:tcW w:w="2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1,338,408</w:t>
            </w:r>
          </w:p>
        </w:tc>
        <w:tc>
          <w:tcPr>
            <w:tcW w:w="2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906,720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4,834,919</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4,101,634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Less: accumulated depreciation and amortization</w:t>
            </w:r>
          </w:p>
        </w:tc>
        <w:tc>
          <w:tcPr>
            <w:tcW w:w="20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(1,784,436)</w:t>
            </w: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(1,514,899)</w:t>
            </w:r>
          </w:p>
        </w:tc>
        <w:tc>
          <w:tcPr>
            <w:tcW w:w="0" w:type="dxa"/>
            <w:vAlign w:val="bottom"/>
          </w:tcPr>
          <w:p>
            <w:pPr>
              <w:spacing w:after="0"/>
              <w:rPr>
                <w:sz w:val="1"/>
                <w:szCs w:val="1"/>
                <w:color w:val="auto"/>
              </w:rPr>
            </w:pPr>
          </w:p>
        </w:tc>
      </w:tr>
      <w:tr>
        <w:trPr>
          <w:trHeight w:val="195"/>
        </w:trPr>
        <w:tc>
          <w:tcPr>
            <w:tcW w:w="772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3,050,483</w:t>
            </w:r>
          </w:p>
        </w:tc>
        <w:tc>
          <w:tcPr>
            <w:tcW w:w="28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2,586,735</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Other assets:</w:t>
            </w:r>
          </w:p>
        </w:tc>
        <w:tc>
          <w:tcPr>
            <w:tcW w:w="20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Investment in unconsolidated affiliate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176,938</w:t>
            </w:r>
          </w:p>
        </w:tc>
        <w:tc>
          <w:tcPr>
            <w:tcW w:w="2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160,204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273,288</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276,331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Capitalized software costs, net</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237,100</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242,741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Patents, orbital slots and other licenses, net</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52,889</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39,135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95,212</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88,941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835,427</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807,352</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color w:val="auto"/>
              </w:rPr>
              <w:t>Accrued and other liabilities: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Collections in excess of revenues and deferred revenues</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216,594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123,019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Accrued employee compensation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87,153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72,654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vacation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59,509</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48,963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Warranty reserve, current portion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6,693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6,233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Operating lease liabilities</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48,896</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42,146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113,986</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98,175</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532,831</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391,190</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3"/>
                <w:szCs w:val="13"/>
                <w:color w:val="auto"/>
              </w:rPr>
              <w:t>Other liabilities:</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revenues, long-term portion</w:t>
            </w:r>
          </w:p>
        </w:tc>
        <w:tc>
          <w:tcPr>
            <w:tcW w:w="2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84,654</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80,802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3"/>
                <w:szCs w:val="13"/>
                <w:color w:val="auto"/>
              </w:rPr>
              <w:t>Warranty reserve, long-term portion</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5,193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5,410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Satellite performance incentive obligations, long-term portion</w:t>
            </w:r>
          </w:p>
        </w:tc>
        <w:tc>
          <w:tcPr>
            <w:tcW w:w="2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22,191</w:t>
            </w: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25,312</w:t>
            </w: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137,350</w:t>
            </w:r>
          </w:p>
        </w:tc>
        <w:tc>
          <w:tcPr>
            <w:tcW w:w="28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120,934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56"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76" w:lineRule="exact"/>
        <w:rPr>
          <w:rFonts w:ascii="Arial" w:cs="Arial" w:eastAsia="Arial" w:hAnsi="Arial"/>
          <w:sz w:val="18"/>
          <w:szCs w:val="18"/>
          <w:color w:val="auto"/>
        </w:rPr>
      </w:pPr>
    </w:p>
    <w:p>
      <w:pPr>
        <w:jc w:val="both"/>
        <w:ind w:left="1000" w:right="4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4" w:lineRule="exact"/>
        <w:rPr>
          <w:rFonts w:ascii="Arial" w:cs="Arial" w:eastAsia="Arial" w:hAnsi="Arial"/>
          <w:sz w:val="18"/>
          <w:szCs w:val="18"/>
          <w:color w:val="auto"/>
        </w:rPr>
      </w:pPr>
    </w:p>
    <w:p>
      <w:pPr>
        <w:ind w:left="1000" w:right="80" w:hanging="493"/>
        <w:spacing w:after="0" w:line="246"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ind w:right="320" w:firstLine="510"/>
        <w:spacing w:after="0" w:line="246" w:lineRule="auto"/>
        <w:rPr>
          <w:sz w:val="20"/>
          <w:szCs w:val="20"/>
          <w:color w:val="auto"/>
        </w:rPr>
      </w:pPr>
      <w:r>
        <w:rPr>
          <w:rFonts w:ascii="Arial" w:cs="Arial" w:eastAsia="Arial" w:hAnsi="Arial"/>
          <w:sz w:val="18"/>
          <w:szCs w:val="18"/>
          <w:color w:val="auto"/>
        </w:rPr>
        <w:t>The Company had $5.0 million in cash equivalents (Level 1) and no liabilities measured at fair value on a recurring basis as of both March 31, 2021 and March 31, 2020.</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220" w:firstLine="510"/>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6" w:lineRule="exact"/>
        <w:rPr>
          <w:sz w:val="20"/>
          <w:szCs w:val="20"/>
          <w:color w:val="auto"/>
        </w:rPr>
      </w:pPr>
    </w:p>
    <w:p>
      <w:pPr>
        <w:ind w:right="180" w:firstLine="510"/>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3" w:lineRule="exact"/>
        <w:rPr>
          <w:sz w:val="20"/>
          <w:szCs w:val="20"/>
          <w:color w:val="auto"/>
        </w:rPr>
      </w:pPr>
    </w:p>
    <w:p>
      <w:pPr>
        <w:ind w:right="20" w:firstLine="510"/>
        <w:spacing w:after="0" w:line="23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Credit Facilities), $700.0 million in aggregate principal amount of 2025 Notes, $600.0 million in aggregate principal amount of 2027 Notes, $400.0 million in aggregate principal amount of 2028 Notes and finance lease obligations reported at the present value of future minimum lease payments with current accrued interest. Long-term debt related to the Revolving Credit Facility is reported at the outstanding principal amount of borrowings, while long-term debt related to the Ex-Im Credit Facility, 2025 Notes, the 2027 Notes and 2028 Notes is reported at amortized cost. However, for disclosure purposes, the Company is required to measure the fair value of outstanding debt on a recurring basis. The fair value of the Company’s long-term debt related to the Revolving Credit Facility approximates its carrying amount due to its variable interest rate, which approximates a market interest rate. As of March 31, 2021 and 2020, the fair value of the Company’s long-term debt related to the Ex-Im Credit Facility was determined based on a discounted cash flow analysis using observable market interest rates for instruments with similar terms (Level 2) and was approximately $100.1 million and $118.1 million, respectively. As of March 31, 2021 and 2020, the estimated fair value of the Company’s outstanding long-term debt related to the 2025 Notes was determined based on actual or estimated bids and offers for the 2025 Notes in an over-the-counter market (Level 2) and was $709.6 million and $653.6 million, respectively. As of March 31, 2021 and 2020, the estimated fair value of the Company’s outstanding long-term debt related to the 2027 Notes was determined based on actual or estimated bids and offers for the 2027 Notes in an over-the-counter market (Level 2) and was $629.2 million and $603.2 million, respectively. As of March 31, 2021, the estimated fair value of the Company’s outstanding long-term debt related to the 2028 Notes (which were issued in June 2020) was determined based on actual or estimated bids and offers for the 2028 Notes in an over-the-counter market (Level 2) and was $420.5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4" w:lineRule="exact"/>
        <w:rPr>
          <w:sz w:val="20"/>
          <w:szCs w:val="20"/>
          <w:color w:val="auto"/>
        </w:rPr>
      </w:pPr>
    </w:p>
    <w:p>
      <w:pPr>
        <w:ind w:right="100" w:firstLine="510"/>
        <w:spacing w:after="0" w:line="239"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fiscal year 2027 and fiscal year 2028, respectively,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March 31, 2021 and 2020, the Company’s estimated satellite performance incentive obligations relating to the ViaSat-1 and ViaSat-2 satellites, including accrued interest, were $27.1 million and $27.4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and Acquired Intangible Assets</w:t>
      </w:r>
    </w:p>
    <w:p>
      <w:pPr>
        <w:spacing w:after="0" w:line="99" w:lineRule="exact"/>
        <w:rPr>
          <w:sz w:val="20"/>
          <w:szCs w:val="20"/>
          <w:color w:val="auto"/>
        </w:rPr>
      </w:pPr>
    </w:p>
    <w:p>
      <w:pPr>
        <w:ind w:right="140" w:firstLine="510"/>
        <w:spacing w:after="0" w:line="246" w:lineRule="auto"/>
        <w:rPr>
          <w:sz w:val="20"/>
          <w:szCs w:val="20"/>
          <w:color w:val="auto"/>
        </w:rPr>
      </w:pPr>
      <w:r>
        <w:rPr>
          <w:rFonts w:ascii="Arial" w:cs="Arial" w:eastAsia="Arial" w:hAnsi="Arial"/>
          <w:sz w:val="18"/>
          <w:szCs w:val="18"/>
          <w:color w:val="auto"/>
        </w:rPr>
        <w:t>During fiscal year 2021, the increase in the Company’s goodwill related to the insignificant amount of the effects of foreign currency translation recorded within all three of the Company’s segments. During fiscal year 2020, the decrease in the Company’s goodwill related to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insignificant amount of the effects of foreign currency translation recorded within all three of the Company’s segments.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w:t>
      </w:r>
    </w:p>
    <w:p>
      <w:pPr>
        <w:spacing w:after="0" w:line="234" w:lineRule="auto"/>
        <w:rPr>
          <w:sz w:val="20"/>
          <w:szCs w:val="20"/>
          <w:color w:val="auto"/>
        </w:rPr>
      </w:pPr>
      <w:r>
        <w:rPr>
          <w:rFonts w:ascii="Arial" w:cs="Arial" w:eastAsia="Arial" w:hAnsi="Arial"/>
          <w:sz w:val="18"/>
          <w:szCs w:val="18"/>
          <w:color w:val="auto"/>
        </w:rPr>
        <w:t>Amortization expense related to other acquired intangible assets was $5.5 million, $7.6 million and $9.7 million for the fiscal years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31, 2021, March 31, 2020 and March 31, 2019, respectively.</w:t>
      </w:r>
    </w:p>
    <w:p>
      <w:pPr>
        <w:spacing w:after="0" w:line="158" w:lineRule="exact"/>
        <w:rPr>
          <w:sz w:val="20"/>
          <w:szCs w:val="20"/>
          <w:color w:val="auto"/>
        </w:rPr>
      </w:pPr>
    </w:p>
    <w:p>
      <w:pPr>
        <w:ind w:right="320" w:firstLine="510"/>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pacing w:after="0" w:line="271" w:lineRule="exact"/>
        <w:rPr>
          <w:sz w:val="20"/>
          <w:szCs w:val="20"/>
          <w:color w:val="auto"/>
        </w:rPr>
      </w:pPr>
    </w:p>
    <w:tbl>
      <w:tblPr>
        <w:tblLayout w:type="fixed"/>
        <w:tblInd w:w="226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for fiscal year 2025</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8"/>
                <w:szCs w:val="18"/>
                <w:color w:val="auto"/>
              </w:rPr>
            </w:pPr>
          </w:p>
        </w:tc>
      </w:tr>
      <w:tr>
        <w:trPr>
          <w:trHeight w:val="210"/>
        </w:trPr>
        <w:tc>
          <w:tcPr>
            <w:tcW w:w="39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9,568</w:t>
            </w:r>
          </w:p>
        </w:tc>
        <w:tc>
          <w:tcPr>
            <w:tcW w:w="60" w:type="dxa"/>
            <w:vAlign w:val="bottom"/>
            <w:shd w:val="clear" w:color="auto" w:fill="CFF0FC"/>
          </w:tcPr>
          <w:p>
            <w:pPr>
              <w:spacing w:after="0"/>
              <w:rPr>
                <w:sz w:val="18"/>
                <w:szCs w:val="18"/>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0" w:firstLine="510"/>
        <w:spacing w:after="0" w:line="246" w:lineRule="auto"/>
        <w:rPr>
          <w:sz w:val="20"/>
          <w:szCs w:val="20"/>
          <w:color w:val="auto"/>
        </w:rPr>
      </w:pPr>
      <w:r>
        <w:rPr>
          <w:rFonts w:ascii="Arial" w:cs="Arial" w:eastAsia="Arial" w:hAnsi="Arial"/>
          <w:sz w:val="18"/>
          <w:szCs w:val="18"/>
          <w:color w:val="auto"/>
        </w:rPr>
        <w:t>The allocation of the other acquired intangible assets and the related accumulated amortization as of March 31, 2021 and 2020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Weighted</w:t>
            </w: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3"/>
                <w:szCs w:val="13"/>
                <w:b w:val="1"/>
                <w:bCs w:val="1"/>
                <w:color w:val="auto"/>
              </w:rPr>
              <w:t>As of March 31, 2021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As of March 31, 2020</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30"/>
              <w:spacing w:after="0"/>
              <w:rPr>
                <w:sz w:val="20"/>
                <w:szCs w:val="20"/>
                <w:color w:val="auto"/>
              </w:rPr>
            </w:pPr>
            <w:r>
              <w:rPr>
                <w:rFonts w:ascii="Arial" w:cs="Arial" w:eastAsia="Arial" w:hAnsi="Arial"/>
                <w:sz w:val="13"/>
                <w:szCs w:val="13"/>
                <w:b w:val="1"/>
                <w:bCs w:val="1"/>
                <w:color w:val="auto"/>
              </w:rPr>
              <w:t>Net Book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80" w:type="dxa"/>
            <w:vAlign w:val="bottom"/>
            <w:gridSpan w:val="4"/>
          </w:tcPr>
          <w:p>
            <w:pPr>
              <w:ind w:left="22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65"/>
        </w:trPr>
        <w:tc>
          <w:tcPr>
            <w:tcW w:w="426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Useful Life</w:t>
            </w:r>
          </w:p>
        </w:tc>
        <w:tc>
          <w:tcPr>
            <w:tcW w:w="1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5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69"/>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Amortization</w:t>
            </w:r>
          </w:p>
        </w:tc>
        <w:tc>
          <w:tcPr>
            <w:tcW w:w="8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(In years)</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4"/>
          </w:tcPr>
          <w:p>
            <w:pPr>
              <w:jc w:val="right"/>
              <w:ind w:right="369"/>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FF0FC"/>
          </w:tcPr>
          <w:p>
            <w:pPr>
              <w:spacing w:after="0"/>
              <w:rPr>
                <w:sz w:val="20"/>
                <w:szCs w:val="20"/>
                <w:color w:val="auto"/>
              </w:rPr>
            </w:pPr>
            <w:r>
              <w:rPr>
                <w:rFonts w:ascii="Arial" w:cs="Arial" w:eastAsia="Arial" w:hAnsi="Arial"/>
                <w:sz w:val="14"/>
                <w:szCs w:val="14"/>
                <w:color w:val="auto"/>
              </w:rPr>
              <w:t>Technology</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78,185</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(71,549)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6,636</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89,228</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(78,935)</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10,293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Arial" w:cs="Arial" w:eastAsia="Arial" w:hAnsi="Arial"/>
                <w:sz w:val="14"/>
                <w:szCs w:val="14"/>
                <w:color w:val="auto"/>
              </w:rPr>
              <w:t>Contracts and customer relationships</w:t>
            </w: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55,161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(52,229)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103,114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(98,968)</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FF0FC"/>
          </w:tcPr>
          <w:p>
            <w:pPr>
              <w:spacing w:after="0"/>
              <w:rPr>
                <w:sz w:val="20"/>
                <w:szCs w:val="20"/>
                <w:color w:val="auto"/>
              </w:rPr>
            </w:pPr>
            <w:r>
              <w:rPr>
                <w:rFonts w:ascii="Arial" w:cs="Arial" w:eastAsia="Arial" w:hAnsi="Arial"/>
                <w:sz w:val="14"/>
                <w:szCs w:val="14"/>
                <w:color w:val="auto"/>
              </w:rPr>
              <w:t>Satellite co-location rights</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(8,600)</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(8,600)</w:t>
            </w:r>
          </w:p>
        </w:tc>
        <w:tc>
          <w:tcPr>
            <w:tcW w:w="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Arial" w:cs="Arial" w:eastAsia="Arial" w:hAnsi="Arial"/>
                <w:sz w:val="14"/>
                <w:szCs w:val="14"/>
                <w:color w:val="auto"/>
              </w:rPr>
              <w:t>Trade name</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5,940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5,940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3,663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(3,663)</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6,399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(6,399)</w:t>
            </w:r>
          </w:p>
        </w:tc>
        <w:tc>
          <w:tcPr>
            <w:tcW w:w="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60" w:type="dxa"/>
            <w:vAlign w:val="bottom"/>
          </w:tcPr>
          <w:p>
            <w:pPr>
              <w:spacing w:after="0"/>
              <w:rPr>
                <w:sz w:val="20"/>
                <w:szCs w:val="20"/>
                <w:color w:val="auto"/>
              </w:rPr>
            </w:pPr>
            <w:r>
              <w:rPr>
                <w:rFonts w:ascii="Arial" w:cs="Arial" w:eastAsia="Arial" w:hAnsi="Arial"/>
                <w:sz w:val="14"/>
                <w:szCs w:val="14"/>
                <w:color w:val="auto"/>
              </w:rPr>
              <w:t>Total other acquired intangible assets</w:t>
            </w: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151,549</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(141,981)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9,568</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213,281</w:t>
            </w: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(198,842)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14,439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40" w:firstLine="510"/>
        <w:spacing w:after="0" w:line="246" w:lineRule="auto"/>
        <w:rPr>
          <w:sz w:val="20"/>
          <w:szCs w:val="20"/>
          <w:color w:val="auto"/>
        </w:rPr>
      </w:pPr>
      <w:r>
        <w:rPr>
          <w:rFonts w:ascii="Arial" w:cs="Arial" w:eastAsia="Arial" w:hAnsi="Arial"/>
          <w:sz w:val="18"/>
          <w:szCs w:val="18"/>
          <w:color w:val="auto"/>
        </w:rPr>
        <w:t>In fiscal year 2021, the gross amount and accumulated amortization for acquired identifiable intangible assets were reduced by the retirement of fully amortized assets that were no longer in use.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99" w:lineRule="exact"/>
        <w:rPr>
          <w:sz w:val="20"/>
          <w:szCs w:val="20"/>
          <w:color w:val="auto"/>
        </w:rPr>
      </w:pPr>
    </w:p>
    <w:p>
      <w:pPr>
        <w:ind w:right="80" w:firstLine="510"/>
        <w:spacing w:after="0" w:line="242"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twelve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(see Note 1 — The Company and a Summary of Its Significant Accounting Policies — Leases for more information).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147" w:lineRule="exact"/>
        <w:rPr>
          <w:sz w:val="20"/>
          <w:szCs w:val="20"/>
          <w:color w:val="auto"/>
        </w:rPr>
      </w:pPr>
    </w:p>
    <w:p>
      <w:pPr>
        <w:jc w:val="both"/>
        <w:ind w:right="120" w:firstLine="510"/>
        <w:spacing w:after="0"/>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less than one to five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lease costs, weighted average lease terms and discount rates are presented in the tables below:</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Fiscal Years Ended</w:t>
            </w:r>
          </w:p>
        </w:tc>
      </w:tr>
      <w:tr>
        <w:trPr>
          <w:trHeight w:val="215"/>
        </w:trPr>
        <w:tc>
          <w:tcPr>
            <w:tcW w:w="5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8"/>
                <w:szCs w:val="18"/>
                <w:color w:val="auto"/>
              </w:rPr>
            </w:pPr>
          </w:p>
        </w:tc>
      </w:tr>
      <w:tr>
        <w:trPr>
          <w:trHeight w:val="223"/>
        </w:trPr>
        <w:tc>
          <w:tcPr>
            <w:tcW w:w="5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Operating lease cost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65,732</w:t>
            </w:r>
          </w:p>
        </w:tc>
        <w:tc>
          <w:tcPr>
            <w:tcW w:w="2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60,861</w:t>
            </w:r>
          </w:p>
        </w:tc>
        <w:tc>
          <w:tcPr>
            <w:tcW w:w="80" w:type="dxa"/>
            <w:vAlign w:val="bottom"/>
          </w:tcPr>
          <w:p>
            <w:pPr>
              <w:spacing w:after="0"/>
              <w:rPr>
                <w:sz w:val="19"/>
                <w:szCs w:val="19"/>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Depreciation of assets obtained under finance leases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11,328</w:t>
            </w:r>
          </w:p>
        </w:tc>
        <w:tc>
          <w:tcPr>
            <w:tcW w:w="80" w:type="dxa"/>
            <w:vAlign w:val="bottom"/>
          </w:tcPr>
          <w:p>
            <w:pPr>
              <w:spacing w:after="0"/>
              <w:rPr>
                <w:sz w:val="19"/>
                <w:szCs w:val="19"/>
                <w:color w:val="auto"/>
              </w:rPr>
            </w:pPr>
          </w:p>
        </w:tc>
      </w:tr>
      <w:tr>
        <w:trPr>
          <w:trHeight w:val="229"/>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on lease liabilities</w:t>
            </w: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80" w:type="dxa"/>
            <w:vAlign w:val="bottom"/>
            <w:shd w:val="clear" w:color="auto" w:fill="CFF0FC"/>
          </w:tcPr>
          <w:p>
            <w:pPr>
              <w:spacing w:after="0"/>
              <w:rPr>
                <w:sz w:val="19"/>
                <w:szCs w:val="19"/>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Short-term lease cost</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6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8,608</w:t>
            </w:r>
          </w:p>
        </w:tc>
        <w:tc>
          <w:tcPr>
            <w:tcW w:w="8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Net lease cost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95,496</w:t>
            </w:r>
          </w:p>
        </w:tc>
        <w:tc>
          <w:tcPr>
            <w:tcW w:w="20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87,691</w:t>
            </w:r>
          </w:p>
        </w:tc>
        <w:tc>
          <w:tcPr>
            <w:tcW w:w="8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As of</w:t>
      </w:r>
    </w:p>
    <w:p>
      <w:pPr>
        <w:spacing w:after="0" w:line="29" w:lineRule="exact"/>
        <w:rPr>
          <w:sz w:val="20"/>
          <w:szCs w:val="20"/>
          <w:color w:val="auto"/>
        </w:rPr>
      </w:pPr>
    </w:p>
    <w:p>
      <w:pPr>
        <w:jc w:val="center"/>
        <w:ind w:right="1500"/>
        <w:spacing w:after="0"/>
        <w:rPr>
          <w:sz w:val="20"/>
          <w:szCs w:val="20"/>
          <w:color w:val="auto"/>
        </w:rPr>
      </w:pPr>
      <w:r>
        <w:rPr>
          <w:rFonts w:ascii="Arial" w:cs="Arial" w:eastAsia="Arial" w:hAnsi="Arial"/>
          <w:sz w:val="14"/>
          <w:szCs w:val="14"/>
          <w:b w:val="1"/>
          <w:bCs w:val="1"/>
          <w:color w:val="auto"/>
        </w:rPr>
        <w:t>March 31, 2020</w:t>
      </w:r>
    </w:p>
    <w:p>
      <w:pPr>
        <w:spacing w:after="0" w:line="1" w:lineRule="exact"/>
        <w:rPr>
          <w:sz w:val="20"/>
          <w:szCs w:val="20"/>
          <w:color w:val="auto"/>
        </w:rPr>
      </w:pPr>
    </w:p>
    <w:p>
      <w:pPr>
        <w:sectPr>
          <w:pgSz w:w="11900" w:h="16838" w:orient="portrait"/>
          <w:cols w:equalWidth="0" w:num="2">
            <w:col w:w="8040" w:space="680"/>
            <w:col w:w="25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140" w:type="dxa"/>
            <w:vAlign w:val="bottom"/>
          </w:tcPr>
          <w:p>
            <w:pPr>
              <w:spacing w:after="0"/>
              <w:rPr>
                <w:sz w:val="19"/>
                <w:szCs w:val="19"/>
                <w:color w:val="auto"/>
              </w:rPr>
            </w:pPr>
          </w:p>
        </w:tc>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14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300" w:type="dxa"/>
            <w:vAlign w:val="bottom"/>
            <w:gridSpan w:val="2"/>
          </w:tcPr>
          <w:p>
            <w:pPr>
              <w:ind w:left="1140"/>
              <w:spacing w:after="0"/>
              <w:rPr>
                <w:sz w:val="20"/>
                <w:szCs w:val="20"/>
                <w:color w:val="auto"/>
              </w:rPr>
            </w:pPr>
            <w:r>
              <w:rPr>
                <w:rFonts w:ascii="Arial" w:cs="Arial" w:eastAsia="Arial" w:hAnsi="Arial"/>
                <w:sz w:val="18"/>
                <w:szCs w:val="18"/>
                <w:color w:val="auto"/>
              </w:rPr>
              <w:t>Weighted average remaining lease term (in years):</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2940" w:type="dxa"/>
            <w:vAlign w:val="bottom"/>
            <w:gridSpan w:val="3"/>
            <w:shd w:val="clear" w:color="auto" w:fill="CFF0FC"/>
          </w:tcPr>
          <w:p>
            <w:pPr>
              <w:ind w:left="2680"/>
              <w:spacing w:after="0"/>
              <w:rPr>
                <w:sz w:val="20"/>
                <w:szCs w:val="20"/>
                <w:color w:val="auto"/>
              </w:rPr>
            </w:pPr>
            <w:r>
              <w:rPr>
                <w:rFonts w:ascii="Arial" w:cs="Arial" w:eastAsia="Arial" w:hAnsi="Arial"/>
                <w:sz w:val="18"/>
                <w:szCs w:val="18"/>
                <w:color w:val="auto"/>
                <w:w w:val="95"/>
              </w:rPr>
              <w:t>7.4</w:t>
            </w: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ind w:left="1120"/>
              <w:spacing w:after="0"/>
              <w:rPr>
                <w:sz w:val="20"/>
                <w:szCs w:val="20"/>
                <w:color w:val="auto"/>
              </w:rPr>
            </w:pPr>
            <w:r>
              <w:rPr>
                <w:rFonts w:ascii="Arial" w:cs="Arial" w:eastAsia="Arial" w:hAnsi="Arial"/>
                <w:sz w:val="18"/>
                <w:szCs w:val="18"/>
                <w:color w:val="auto"/>
                <w:w w:val="95"/>
              </w:rPr>
              <w:t>7.0</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940" w:type="dxa"/>
            <w:vAlign w:val="bottom"/>
            <w:gridSpan w:val="3"/>
          </w:tcPr>
          <w:p>
            <w:pPr>
              <w:ind w:left="2680"/>
              <w:spacing w:after="0"/>
              <w:rPr>
                <w:sz w:val="20"/>
                <w:szCs w:val="20"/>
                <w:color w:val="auto"/>
              </w:rPr>
            </w:pPr>
            <w:r>
              <w:rPr>
                <w:rFonts w:ascii="Arial" w:cs="Arial" w:eastAsia="Arial" w:hAnsi="Arial"/>
                <w:sz w:val="18"/>
                <w:szCs w:val="18"/>
                <w:color w:val="auto"/>
                <w:w w:val="95"/>
              </w:rPr>
              <w:t>5.3</w:t>
            </w:r>
          </w:p>
        </w:tc>
        <w:tc>
          <w:tcPr>
            <w:tcW w:w="32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w w:val="95"/>
              </w:rPr>
              <w:t>6.3</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300" w:type="dxa"/>
            <w:vAlign w:val="bottom"/>
            <w:gridSpan w:val="2"/>
          </w:tcPr>
          <w:p>
            <w:pPr>
              <w:ind w:left="1140"/>
              <w:spacing w:after="0"/>
              <w:rPr>
                <w:sz w:val="20"/>
                <w:szCs w:val="20"/>
                <w:color w:val="auto"/>
              </w:rPr>
            </w:pPr>
            <w:r>
              <w:rPr>
                <w:rFonts w:ascii="Arial" w:cs="Arial" w:eastAsia="Arial" w:hAnsi="Arial"/>
                <w:sz w:val="18"/>
                <w:szCs w:val="18"/>
                <w:b w:val="1"/>
                <w:bCs w:val="1"/>
                <w:color w:val="auto"/>
              </w:rPr>
              <w:t>Weighted average discount rate:</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3260" w:type="dxa"/>
            <w:vAlign w:val="bottom"/>
            <w:gridSpan w:val="4"/>
            <w:shd w:val="clear" w:color="auto" w:fill="CFF0FC"/>
          </w:tcPr>
          <w:p>
            <w:pPr>
              <w:ind w:left="2680"/>
              <w:spacing w:after="0"/>
              <w:rPr>
                <w:sz w:val="20"/>
                <w:szCs w:val="20"/>
                <w:color w:val="auto"/>
              </w:rPr>
            </w:pPr>
            <w:r>
              <w:rPr>
                <w:rFonts w:ascii="Arial" w:cs="Arial" w:eastAsia="Arial" w:hAnsi="Arial"/>
                <w:sz w:val="18"/>
                <w:szCs w:val="18"/>
                <w:color w:val="auto"/>
              </w:rPr>
              <w:t>5.4%</w:t>
            </w:r>
          </w:p>
        </w:tc>
        <w:tc>
          <w:tcPr>
            <w:tcW w:w="156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41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3260" w:type="dxa"/>
            <w:vAlign w:val="bottom"/>
            <w:gridSpan w:val="4"/>
          </w:tcPr>
          <w:p>
            <w:pPr>
              <w:ind w:left="2680"/>
              <w:spacing w:after="0"/>
              <w:rPr>
                <w:sz w:val="20"/>
                <w:szCs w:val="20"/>
                <w:color w:val="auto"/>
              </w:rPr>
            </w:pPr>
            <w:r>
              <w:rPr>
                <w:rFonts w:ascii="Arial" w:cs="Arial" w:eastAsia="Arial" w:hAnsi="Arial"/>
                <w:sz w:val="18"/>
                <w:szCs w:val="18"/>
                <w:color w:val="auto"/>
              </w:rPr>
              <w:t>5.4%</w:t>
            </w:r>
          </w:p>
        </w:tc>
        <w:tc>
          <w:tcPr>
            <w:tcW w:w="1560" w:type="dxa"/>
            <w:vAlign w:val="bottom"/>
            <w:gridSpan w:val="2"/>
          </w:tcPr>
          <w:p>
            <w:pPr>
              <w:ind w:left="1120"/>
              <w:spacing w:after="0"/>
              <w:rPr>
                <w:sz w:val="20"/>
                <w:szCs w:val="20"/>
                <w:color w:val="auto"/>
              </w:rPr>
            </w:pPr>
            <w:r>
              <w:rPr>
                <w:rFonts w:ascii="Arial" w:cs="Arial" w:eastAsia="Arial" w:hAnsi="Arial"/>
                <w:sz w:val="18"/>
                <w:szCs w:val="18"/>
                <w:color w:val="auto"/>
              </w:rPr>
              <w:t>5.4%</w:t>
            </w:r>
          </w:p>
        </w:tc>
        <w:tc>
          <w:tcPr>
            <w:tcW w:w="1120" w:type="dxa"/>
            <w:vAlign w:val="bottom"/>
          </w:tcPr>
          <w:p>
            <w:pPr>
              <w:spacing w:after="0"/>
              <w:rPr>
                <w:sz w:val="21"/>
                <w:szCs w:val="21"/>
                <w:color w:val="auto"/>
              </w:rPr>
            </w:pPr>
          </w:p>
        </w:tc>
      </w:tr>
      <w:tr>
        <w:trPr>
          <w:trHeight w:val="621"/>
        </w:trPr>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260" w:type="dxa"/>
            <w:vAlign w:val="bottom"/>
            <w:gridSpan w:val="4"/>
          </w:tcPr>
          <w:p>
            <w:pPr>
              <w:ind w:left="140"/>
              <w:spacing w:after="0"/>
              <w:rPr>
                <w:sz w:val="20"/>
                <w:szCs w:val="20"/>
                <w:color w:val="auto"/>
              </w:rPr>
            </w:pPr>
            <w:r>
              <w:rPr>
                <w:rFonts w:ascii="Arial" w:cs="Arial" w:eastAsia="Arial" w:hAnsi="Arial"/>
                <w:sz w:val="18"/>
                <w:szCs w:val="18"/>
                <w:color w:val="auto"/>
              </w:rPr>
              <w:t>F-25</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1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9" w:name="page90"/>
    <w:bookmarkEnd w:id="89"/>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components of the consolidated statements of cash flows for operating and finance leases:</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740"/>
              <w:spacing w:after="0"/>
              <w:rPr>
                <w:sz w:val="20"/>
                <w:szCs w:val="20"/>
                <w:color w:val="auto"/>
              </w:rPr>
            </w:pPr>
            <w:r>
              <w:rPr>
                <w:rFonts w:ascii="Arial" w:cs="Arial" w:eastAsia="Arial" w:hAnsi="Arial"/>
                <w:sz w:val="14"/>
                <w:szCs w:val="14"/>
                <w:b w:val="1"/>
                <w:bCs w:val="1"/>
                <w:color w:val="auto"/>
              </w:rPr>
              <w:t>Fiscal Years Ended</w:t>
            </w:r>
          </w:p>
        </w:tc>
      </w:tr>
      <w:tr>
        <w:trPr>
          <w:trHeight w:val="215"/>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2020</w:t>
            </w:r>
          </w:p>
        </w:tc>
      </w:tr>
      <w:tr>
        <w:trPr>
          <w:trHeight w:val="187"/>
        </w:trPr>
        <w:tc>
          <w:tcPr>
            <w:tcW w:w="5660" w:type="dxa"/>
            <w:vAlign w:val="bottom"/>
            <w:tcBorders>
              <w:top w:val="single" w:sz="8" w:color="auto"/>
            </w:tcBorders>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Cash paid for amounts included in the measurement of lease</w:t>
            </w: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25"/>
        </w:trPr>
        <w:tc>
          <w:tcPr>
            <w:tcW w:w="5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6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64,676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58,987</w:t>
            </w:r>
          </w:p>
        </w:tc>
        <w:tc>
          <w:tcPr>
            <w:tcW w:w="80" w:type="dxa"/>
            <w:vAlign w:val="bottom"/>
          </w:tcPr>
          <w:p>
            <w:pPr>
              <w:spacing w:after="0"/>
              <w:rPr>
                <w:sz w:val="19"/>
                <w:szCs w:val="19"/>
                <w:color w:val="auto"/>
              </w:rPr>
            </w:pPr>
          </w:p>
        </w:tc>
      </w:tr>
      <w:tr>
        <w:trPr>
          <w:trHeight w:val="230"/>
        </w:trPr>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FF0FC"/>
          </w:tcPr>
          <w:p>
            <w:pPr>
              <w:spacing w:after="0"/>
              <w:rPr>
                <w:sz w:val="19"/>
                <w:szCs w:val="19"/>
                <w:color w:val="auto"/>
              </w:rPr>
            </w:pPr>
          </w:p>
        </w:tc>
      </w:tr>
      <w:tr>
        <w:trPr>
          <w:trHeight w:val="229"/>
        </w:trPr>
        <w:tc>
          <w:tcPr>
            <w:tcW w:w="566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8,044</w:t>
            </w:r>
          </w:p>
        </w:tc>
        <w:tc>
          <w:tcPr>
            <w:tcW w:w="8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78,393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25,420</w:t>
            </w:r>
          </w:p>
        </w:tc>
        <w:tc>
          <w:tcPr>
            <w:tcW w:w="80" w:type="dxa"/>
            <w:vAlign w:val="bottom"/>
            <w:shd w:val="clear" w:color="auto" w:fill="CFF0FC"/>
          </w:tcPr>
          <w:p>
            <w:pPr>
              <w:spacing w:after="0"/>
              <w:rPr>
                <w:sz w:val="19"/>
                <w:szCs w:val="19"/>
                <w:color w:val="auto"/>
              </w:rPr>
            </w:pPr>
          </w:p>
        </w:tc>
      </w:tr>
      <w:tr>
        <w:trPr>
          <w:trHeight w:val="243"/>
        </w:trPr>
        <w:tc>
          <w:tcPr>
            <w:tcW w:w="56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72,711</w:t>
            </w:r>
          </w:p>
        </w:tc>
        <w:tc>
          <w:tcPr>
            <w:tcW w:w="80" w:type="dxa"/>
            <w:vAlign w:val="bottom"/>
          </w:tcPr>
          <w:p>
            <w:pPr>
              <w:spacing w:after="0"/>
              <w:rPr>
                <w:sz w:val="21"/>
                <w:szCs w:val="21"/>
                <w:color w:val="auto"/>
              </w:rPr>
            </w:pPr>
          </w:p>
        </w:tc>
      </w:tr>
    </w:tbl>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the Company’s lease liabilities as of March 31, 2021:</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5"/>
                <w:szCs w:val="15"/>
                <w:color w:val="auto"/>
              </w:rPr>
            </w:pPr>
          </w:p>
        </w:tc>
      </w:tr>
      <w:tr>
        <w:trPr>
          <w:trHeight w:val="169"/>
        </w:trPr>
        <w:tc>
          <w:tcPr>
            <w:tcW w:w="47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2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67,650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13,567</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62,746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12,008</w:t>
            </w: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Expected for fiscal year 2025</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57,100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139,230</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442,983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64,575</w:t>
            </w:r>
          </w:p>
        </w:tc>
        <w:tc>
          <w:tcPr>
            <w:tcW w:w="100" w:type="dxa"/>
            <w:vAlign w:val="bottom"/>
            <w:shd w:val="clear" w:color="auto" w:fill="CFF0FC"/>
          </w:tcPr>
          <w:p>
            <w:pPr>
              <w:spacing w:after="0"/>
              <w:rPr>
                <w:sz w:val="19"/>
                <w:szCs w:val="19"/>
                <w:color w:val="auto"/>
              </w:rPr>
            </w:pPr>
          </w:p>
        </w:tc>
      </w:tr>
      <w:tr>
        <w:trPr>
          <w:trHeight w:val="230"/>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interest</w:t>
            </w:r>
          </w:p>
        </w:tc>
        <w:tc>
          <w:tcPr>
            <w:tcW w:w="18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80,325</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362,658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56,336</w:t>
            </w:r>
          </w:p>
        </w:tc>
        <w:tc>
          <w:tcPr>
            <w:tcW w:w="100" w:type="dxa"/>
            <w:vAlign w:val="bottom"/>
            <w:shd w:val="clear" w:color="auto" w:fill="CFF0FC"/>
          </w:tcPr>
          <w:p>
            <w:pPr>
              <w:spacing w:after="0"/>
              <w:rPr>
                <w:sz w:val="19"/>
                <w:szCs w:val="19"/>
                <w:color w:val="auto"/>
              </w:rPr>
            </w:pPr>
          </w:p>
        </w:tc>
      </w:tr>
      <w:tr>
        <w:trPr>
          <w:trHeight w:val="20"/>
        </w:trPr>
        <w:tc>
          <w:tcPr>
            <w:tcW w:w="472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As of March 31, 2021, the Company had $1.7 million of additional lease commitments that will commence in fiscal year 2022 with lease terms of three to six years.</w:t>
      </w:r>
    </w:p>
    <w:p>
      <w:pPr>
        <w:spacing w:after="0" w:line="143"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As discussed in Note 1 – The Company and a Summary of Its Significant Accounting Policies – Leases, in fiscal year 2020 the Company adopted ASC 842 using the optional transition method presenting prior period amounts and disclosures under ASC 840. Rent expense was $53.5 million for the fiscal year ended March 31, 2019.</w:t>
      </w:r>
    </w:p>
    <w:p>
      <w:pPr>
        <w:spacing w:after="0" w:line="2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8" w:right="7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March 31, 2021 and 2020:</w:t>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As of</w:t>
            </w:r>
          </w:p>
        </w:tc>
      </w:tr>
      <w:tr>
        <w:trPr>
          <w:trHeight w:val="175"/>
        </w:trPr>
        <w:tc>
          <w:tcPr>
            <w:tcW w:w="4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r>
      <w:tr>
        <w:trPr>
          <w:trHeight w:val="169"/>
        </w:trPr>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2028 Notes</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2027 Notes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2025 Notes</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98,261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117,913</w:t>
            </w:r>
          </w:p>
        </w:tc>
        <w:tc>
          <w:tcPr>
            <w:tcW w:w="80" w:type="dxa"/>
            <w:vAlign w:val="bottom"/>
            <w:shd w:val="clear" w:color="auto" w:fill="CFF0FC"/>
          </w:tcPr>
          <w:p>
            <w:pPr>
              <w:spacing w:after="0"/>
              <w:rPr>
                <w:sz w:val="18"/>
                <w:szCs w:val="18"/>
                <w:color w:val="auto"/>
              </w:rPr>
            </w:pPr>
          </w:p>
        </w:tc>
      </w:tr>
      <w:tr>
        <w:trPr>
          <w:trHeight w:val="216"/>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Finance lease obligations (see Note 5)</w:t>
            </w:r>
          </w:p>
        </w:tc>
        <w:tc>
          <w:tcPr>
            <w:tcW w:w="6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64,956</w:t>
            </w:r>
          </w:p>
        </w:tc>
        <w:tc>
          <w:tcPr>
            <w:tcW w:w="80" w:type="dxa"/>
            <w:vAlign w:val="bottom"/>
            <w:tcBorders>
              <w:bottom w:val="single" w:sz="8" w:color="CFF0FC"/>
            </w:tcBorders>
          </w:tcPr>
          <w:p>
            <w:pPr>
              <w:spacing w:after="0"/>
              <w:rPr>
                <w:sz w:val="18"/>
                <w:szCs w:val="18"/>
                <w:color w:val="auto"/>
              </w:rPr>
            </w:pP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1,854,597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1,872,869</w:t>
            </w:r>
          </w:p>
        </w:tc>
        <w:tc>
          <w:tcPr>
            <w:tcW w:w="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Unamortized discount and debt issuance costs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(21,441)</w:t>
            </w: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(21,418)</w:t>
            </w:r>
          </w:p>
        </w:tc>
      </w:tr>
      <w:tr>
        <w:trPr>
          <w:trHeight w:val="216"/>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6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30,472</w:t>
            </w: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29,788</w:t>
            </w:r>
          </w:p>
        </w:tc>
        <w:tc>
          <w:tcPr>
            <w:tcW w:w="80" w:type="dxa"/>
            <w:vAlign w:val="bottom"/>
            <w:shd w:val="clear" w:color="auto" w:fill="CFF0FC"/>
          </w:tcPr>
          <w:p>
            <w:pPr>
              <w:spacing w:after="0"/>
              <w:rPr>
                <w:sz w:val="18"/>
                <w:szCs w:val="18"/>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Total long-term debt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1,802,684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1,821,663</w:t>
            </w:r>
          </w:p>
        </w:tc>
        <w:tc>
          <w:tcPr>
            <w:tcW w:w="8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10"/>
        <w:spacing w:after="0"/>
        <w:rPr>
          <w:sz w:val="20"/>
          <w:szCs w:val="20"/>
          <w:color w:val="auto"/>
        </w:rPr>
      </w:pPr>
      <w:r>
        <w:rPr>
          <w:rFonts w:ascii="Arial" w:cs="Arial" w:eastAsia="Arial" w:hAnsi="Arial"/>
          <w:sz w:val="18"/>
          <w:szCs w:val="18"/>
          <w:color w:val="auto"/>
        </w:rPr>
        <w:t>The estimated aggregate amounts and timing of payments on the Company’s long-term debt obligations as of March 31, 2021 for the next five fiscal years and thereafter were as follows (excluding the effects of discount accretion under the 2025 Notes, the 2027 Notes, the 2028 Notes and the Ex-Im Credit Facility):</w:t>
      </w:r>
    </w:p>
    <w:p>
      <w:pPr>
        <w:spacing w:after="0" w:line="190"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680" w:type="dxa"/>
            <w:vAlign w:val="bottom"/>
          </w:tcPr>
          <w:p>
            <w:pPr>
              <w:spacing w:after="0"/>
              <w:rPr>
                <w:sz w:val="14"/>
                <w:szCs w:val="14"/>
                <w:color w:val="auto"/>
              </w:rPr>
            </w:pPr>
          </w:p>
        </w:tc>
        <w:tc>
          <w:tcPr>
            <w:tcW w:w="126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69"/>
        </w:trPr>
        <w:tc>
          <w:tcPr>
            <w:tcW w:w="1880" w:type="dxa"/>
            <w:vAlign w:val="bottom"/>
            <w:tcBorders>
              <w:top w:val="single" w:sz="8" w:color="auto"/>
            </w:tcBorders>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2023</w:t>
            </w:r>
          </w:p>
        </w:tc>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29,986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2025</w:t>
            </w:r>
          </w:p>
        </w:tc>
        <w:tc>
          <w:tcPr>
            <w:tcW w:w="2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731,155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1,002,974</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1,854,597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Plus: unamortized discount and debt issuance costs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(21,441)</w:t>
            </w: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1,833,156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200" w:firstLine="510"/>
        <w:spacing w:after="0" w:line="238" w:lineRule="auto"/>
        <w:rPr>
          <w:sz w:val="20"/>
          <w:szCs w:val="20"/>
          <w:color w:val="auto"/>
        </w:rPr>
      </w:pPr>
      <w:r>
        <w:rPr>
          <w:rFonts w:ascii="Arial" w:cs="Arial" w:eastAsia="Arial" w:hAnsi="Arial"/>
          <w:sz w:val="18"/>
          <w:szCs w:val="18"/>
          <w:color w:val="auto"/>
        </w:rPr>
        <w:t>As of March 31, 2021, the Revolving Credit Facility provided a $700.0 million revolving line of credit (including up to $ 150.0 million of letters of credit), with a maturity date of January 18, 2024. At March 31, 2021, the Company had no outstanding borrowings under the Revolving Credit Facility and $26.3 million outstanding under standby letters of credit, leaving borrowing availability under the Revolving Credit Facility as of March 31, 2021 of $673.7 million.</w:t>
      </w:r>
    </w:p>
    <w:p>
      <w:pPr>
        <w:spacing w:after="0" w:line="151"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March 31, 2021, none of the Company’s subsidiaries guaranteed the Revolving Credit Facility.</w:t>
      </w:r>
    </w:p>
    <w:p>
      <w:pPr>
        <w:spacing w:after="0" w:line="14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March 31, 2021.</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234" w:lineRule="auto"/>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5"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As of March 31, 2021, the Company had $98.3 million in principal amount of</w:t>
      </w:r>
    </w:p>
    <w:p>
      <w:pPr>
        <w:spacing w:after="0"/>
        <w:rPr>
          <w:sz w:val="20"/>
          <w:szCs w:val="20"/>
          <w:color w:val="auto"/>
        </w:rPr>
      </w:pPr>
      <w:r>
        <w:rPr>
          <w:rFonts w:ascii="Arial" w:cs="Arial" w:eastAsia="Arial" w:hAnsi="Arial"/>
          <w:sz w:val="18"/>
          <w:szCs w:val="18"/>
          <w:color w:val="auto"/>
        </w:rPr>
        <w:t>outstanding borrowings under the Ex-Im Credit Facility.</w:t>
      </w:r>
    </w:p>
    <w:p>
      <w:pPr>
        <w:spacing w:after="0" w:line="158"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fiscal years 2019 and 2020, the Company received an aggregate of $ 188.0 million of insurance proceeds related to the ViaSat-2 satellite, all of which were used to pay down outstanding borrowings under the Ex-Im Credit Facility upon receipt (see Note 1 – The Company and a Summary of Its Significant Accounting Policies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52"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March 31, 2021.</w:t>
      </w:r>
    </w:p>
    <w:p>
      <w:pPr>
        <w:spacing w:after="0" w:line="151" w:lineRule="exact"/>
        <w:rPr>
          <w:sz w:val="20"/>
          <w:szCs w:val="20"/>
          <w:color w:val="auto"/>
        </w:rPr>
      </w:pPr>
    </w:p>
    <w:p>
      <w:pPr>
        <w:ind w:right="40" w:firstLine="510"/>
        <w:spacing w:after="0" w:line="255" w:lineRule="auto"/>
        <w:rPr>
          <w:sz w:val="20"/>
          <w:szCs w:val="20"/>
          <w:color w:val="auto"/>
        </w:rPr>
      </w:pPr>
      <w:r>
        <w:rPr>
          <w:rFonts w:ascii="Arial" w:cs="Arial" w:eastAsia="Arial" w:hAnsi="Arial"/>
          <w:sz w:val="17"/>
          <w:szCs w:val="17"/>
          <w:color w:val="auto"/>
        </w:rPr>
        <w:t>Borrowings under the Ex-Im Credit Facility are recorded as current portion of long-term debt and as other long-term debt, net of unamortized discount and debt issuance costs, in the Company’s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81" w:lineRule="exact"/>
        <w:rPr>
          <w:sz w:val="20"/>
          <w:szCs w:val="20"/>
          <w:color w:val="auto"/>
        </w:rPr>
      </w:pPr>
    </w:p>
    <w:p>
      <w:pPr>
        <w:ind w:right="60" w:firstLine="510"/>
        <w:spacing w:after="0" w:line="237"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51" w:lineRule="exact"/>
        <w:rPr>
          <w:sz w:val="20"/>
          <w:szCs w:val="20"/>
          <w:color w:val="auto"/>
        </w:rPr>
      </w:pPr>
    </w:p>
    <w:p>
      <w:pPr>
        <w:ind w:right="160" w:firstLine="510"/>
        <w:spacing w:after="0" w:line="237" w:lineRule="auto"/>
        <w:rPr>
          <w:sz w:val="20"/>
          <w:szCs w:val="20"/>
          <w:color w:val="auto"/>
        </w:rPr>
      </w:pPr>
      <w:r>
        <w:rPr>
          <w:rFonts w:ascii="Arial" w:cs="Arial" w:eastAsia="Arial" w:hAnsi="Arial"/>
          <w:sz w:val="18"/>
          <w:szCs w:val="18"/>
          <w:color w:val="auto"/>
        </w:rPr>
        <w:t>The 2028 Notes are required to be guaranteed on an unsecured senior basis by each of the Company’s existing and future subsidiaries that guarantees the Revolving Credit Facility. As of March 31, 2021,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49" w:lineRule="exact"/>
        <w:rPr>
          <w:sz w:val="20"/>
          <w:szCs w:val="20"/>
          <w:color w:val="auto"/>
        </w:rPr>
      </w:pPr>
    </w:p>
    <w:p>
      <w:pPr>
        <w:ind w:right="440" w:firstLine="510"/>
        <w:spacing w:after="0"/>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right="440" w:firstLine="510"/>
        <w:spacing w:after="0" w:line="265" w:lineRule="auto"/>
        <w:rPr>
          <w:sz w:val="20"/>
          <w:szCs w:val="20"/>
          <w:color w:val="auto"/>
        </w:rPr>
      </w:pPr>
      <w:r>
        <w:rPr>
          <w:rFonts w:ascii="Arial" w:cs="Arial" w:eastAsia="Arial" w:hAnsi="Arial"/>
          <w:sz w:val="17"/>
          <w:szCs w:val="17"/>
          <w:color w:val="auto"/>
        </w:rPr>
        <w:t>Prior to July 15, 2023, the Company may redeem up to 40% of the 2028 Notes at a redemption price of 106.500% of the principal amount thereof, plus accrued and unpaid interest, if any, thereon to the redemption date, from the net cash proceeds of specified equity</w:t>
      </w:r>
    </w:p>
    <w:p>
      <w:pPr>
        <w:ind w:right="80"/>
        <w:spacing w:after="0" w:line="238" w:lineRule="auto"/>
        <w:rPr>
          <w:sz w:val="20"/>
          <w:szCs w:val="20"/>
          <w:color w:val="auto"/>
        </w:rPr>
      </w:pPr>
      <w:r>
        <w:rPr>
          <w:rFonts w:ascii="Arial" w:cs="Arial" w:eastAsia="Arial" w:hAnsi="Arial"/>
          <w:sz w:val="18"/>
          <w:szCs w:val="18"/>
          <w:color w:val="auto"/>
        </w:rPr>
        <w:t>offerings. The Company may also redeem the 2028 Notes prior to July 15, 2023,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2028 Notes and (ii) the excess, if any, of (a) the present value at such date of redemption of (1) the redemption price of such 2028 Notes on July 15, 2023 plus (2) all required interest payments due on such 2028 Notes through July 15, 2023 (excluding accrued but unpaid interest to the date of redemption), computed using a discount rate equal to the treasury rate (as defined under the indenture governing the 2028 Notes) plus 50 basis points, over (b) the then-outstanding principal amount of such 2028 Notes. 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48" w:lineRule="exact"/>
        <w:rPr>
          <w:sz w:val="20"/>
          <w:szCs w:val="20"/>
          <w:color w:val="auto"/>
        </w:rPr>
      </w:pPr>
    </w:p>
    <w:p>
      <w:pPr>
        <w:jc w:val="both"/>
        <w:ind w:right="12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right="260" w:firstLine="510"/>
        <w:spacing w:after="0" w:line="237"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51" w:lineRule="exact"/>
        <w:rPr>
          <w:sz w:val="20"/>
          <w:szCs w:val="20"/>
          <w:color w:val="auto"/>
        </w:rPr>
      </w:pPr>
    </w:p>
    <w:p>
      <w:pPr>
        <w:ind w:right="180" w:firstLine="510"/>
        <w:spacing w:after="0" w:line="238"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March 31, 2021, none of the Company’s subsidiaries guaranteed the 2027 Notes. The 2027 Notes are secured, equally and ratably with the Revolving Credit Facility and any future parity lien debt, by liens on substantially all of the Company’s assets.</w:t>
      </w:r>
    </w:p>
    <w:p>
      <w:pPr>
        <w:spacing w:after="0" w:line="191"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and the 2028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54" w:lineRule="exact"/>
        <w:rPr>
          <w:sz w:val="20"/>
          <w:szCs w:val="20"/>
          <w:color w:val="auto"/>
        </w:rPr>
      </w:pPr>
    </w:p>
    <w:p>
      <w:pPr>
        <w:ind w:right="440" w:firstLine="510"/>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8" w:lineRule="exact"/>
        <w:rPr>
          <w:sz w:val="20"/>
          <w:szCs w:val="20"/>
          <w:color w:val="auto"/>
        </w:rPr>
      </w:pPr>
    </w:p>
    <w:p>
      <w:pPr>
        <w:ind w:right="120" w:firstLine="510"/>
        <w:spacing w:after="0" w:line="238"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4"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180" w:firstLine="510"/>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40" w:firstLine="510"/>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March 31, 2021,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49" w:lineRule="exact"/>
        <w:rPr>
          <w:sz w:val="20"/>
          <w:szCs w:val="20"/>
          <w:color w:val="auto"/>
        </w:rPr>
      </w:pPr>
    </w:p>
    <w:p>
      <w:pPr>
        <w:ind w:right="420" w:firstLine="510"/>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89"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1" w:lineRule="exact"/>
        <w:rPr>
          <w:sz w:val="20"/>
          <w:szCs w:val="20"/>
          <w:color w:val="auto"/>
        </w:rPr>
      </w:pPr>
    </w:p>
    <w:p>
      <w:pPr>
        <w:jc w:val="both"/>
        <w:ind w:right="100" w:firstLine="510"/>
        <w:spacing w:after="0" w:line="238"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Common Stock and Stock Plans</w:t>
      </w:r>
    </w:p>
    <w:p>
      <w:pPr>
        <w:spacing w:after="0" w:line="99" w:lineRule="exact"/>
        <w:rPr>
          <w:sz w:val="20"/>
          <w:szCs w:val="20"/>
          <w:color w:val="auto"/>
        </w:rPr>
      </w:pPr>
    </w:p>
    <w:p>
      <w:pPr>
        <w:ind w:right="60" w:firstLine="510"/>
        <w:spacing w:after="0" w:line="238" w:lineRule="auto"/>
        <w:rPr>
          <w:sz w:val="20"/>
          <w:szCs w:val="20"/>
          <w:color w:val="auto"/>
        </w:rPr>
      </w:pPr>
      <w:r>
        <w:rPr>
          <w:rFonts w:ascii="Arial" w:cs="Arial" w:eastAsia="Arial" w:hAnsi="Arial"/>
          <w:sz w:val="18"/>
          <w:szCs w:val="18"/>
          <w:color w:val="auto"/>
        </w:rPr>
        <w:t>In February 2019, the Company filed a universal shelf registration statement with the SEC for the future sale of an unlimited amount of common stock, preferred stock, debt securities, depositary shares, warrants, and rights. The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91" w:lineRule="exact"/>
        <w:rPr>
          <w:sz w:val="20"/>
          <w:szCs w:val="20"/>
          <w:color w:val="auto"/>
        </w:rPr>
      </w:pPr>
    </w:p>
    <w:p>
      <w:pPr>
        <w:ind w:right="120" w:firstLine="510"/>
        <w:spacing w:after="0" w:line="235" w:lineRule="auto"/>
        <w:rPr>
          <w:sz w:val="20"/>
          <w:szCs w:val="20"/>
          <w:color w:val="auto"/>
        </w:rPr>
      </w:pPr>
      <w:r>
        <w:rPr>
          <w:rFonts w:ascii="Arial" w:cs="Arial" w:eastAsia="Arial" w:hAnsi="Arial"/>
          <w:sz w:val="18"/>
          <w:szCs w:val="18"/>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2020 through various amendments of the Equity Participation Plan, the Company increased the maximum number of shares reserved for issuance under this plan to 38,025,000 shares. The Company believes that such awards better align the interests of its employees with those of its stockholders. Shares of the Company’s common stock granted under the Equity Participation Plan in the form of stock options or stock appreciation right are counted against the Equity Participation Plan share reserve on a one for one basis and performance-based stock options are calculated assuming “maximum” performance.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prior to September 22, 2010 and subsequent to September 19, 2012, and as 2.65 shares for each share of common stock during the period beginning on September 22, 2010 and ending on September 19, 2012. Restricted stock units are granted to eligible employees and directors and represent rights to receive shares of common stock at a future date.</w:t>
      </w:r>
    </w:p>
    <w:p>
      <w:pPr>
        <w:spacing w:after="0" w:line="160" w:lineRule="exact"/>
        <w:rPr>
          <w:sz w:val="20"/>
          <w:szCs w:val="20"/>
          <w:color w:val="auto"/>
        </w:rPr>
      </w:pPr>
    </w:p>
    <w:p>
      <w:pPr>
        <w:ind w:firstLine="510"/>
        <w:spacing w:after="0" w:line="236" w:lineRule="auto"/>
        <w:rPr>
          <w:sz w:val="20"/>
          <w:szCs w:val="20"/>
          <w:color w:val="auto"/>
        </w:rPr>
      </w:pPr>
      <w:r>
        <w:rPr>
          <w:rFonts w:ascii="Arial" w:cs="Arial" w:eastAsia="Arial" w:hAnsi="Arial"/>
          <w:sz w:val="18"/>
          <w:szCs w:val="18"/>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From November 1996 to September 2019 through various amendments of the Employee Stock Purchase Plan, the Company increased the maximum number of shares reserved for issuance under this plan to 4,450,000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52" w:lineRule="exact"/>
        <w:rPr>
          <w:sz w:val="20"/>
          <w:szCs w:val="20"/>
          <w:color w:val="auto"/>
        </w:rPr>
      </w:pPr>
    </w:p>
    <w:p>
      <w:pPr>
        <w:ind w:right="100" w:firstLine="510"/>
        <w:spacing w:after="0" w:line="246" w:lineRule="auto"/>
        <w:rPr>
          <w:sz w:val="20"/>
          <w:szCs w:val="20"/>
          <w:color w:val="auto"/>
        </w:rPr>
      </w:pPr>
      <w:r>
        <w:rPr>
          <w:rFonts w:ascii="Arial" w:cs="Arial" w:eastAsia="Arial" w:hAnsi="Arial"/>
          <w:sz w:val="18"/>
          <w:szCs w:val="18"/>
          <w:color w:val="auto"/>
        </w:rPr>
        <w:t>Total stock-based compensation expense recognized in accordance with the authoritative guidance for share-based payments was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Fiscal Years Ended</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March 31, 2020</w:t>
            </w:r>
          </w:p>
        </w:tc>
        <w:tc>
          <w:tcPr>
            <w:tcW w:w="13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before taxes</w:t>
            </w:r>
          </w:p>
        </w:tc>
        <w:tc>
          <w:tcPr>
            <w:tcW w:w="800" w:type="dxa"/>
            <w:vAlign w:val="bottom"/>
            <w:gridSpan w:val="2"/>
            <w:shd w:val="clear" w:color="auto" w:fill="CFF0FC"/>
          </w:tcPr>
          <w:p>
            <w:pPr>
              <w:jc w:val="right"/>
              <w:ind w:right="17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84,879</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86,553</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79,599</w:t>
            </w:r>
          </w:p>
        </w:tc>
        <w:tc>
          <w:tcPr>
            <w:tcW w:w="80" w:type="dxa"/>
            <w:vAlign w:val="bottom"/>
            <w:shd w:val="clear" w:color="auto" w:fill="CFF0FC"/>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(19,485)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(20,388)</w:t>
            </w:r>
          </w:p>
        </w:tc>
        <w:tc>
          <w:tcPr>
            <w:tcW w:w="3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(18,824)</w:t>
            </w:r>
          </w:p>
        </w:tc>
      </w:tr>
      <w:tr>
        <w:trPr>
          <w:trHeight w:val="20"/>
        </w:trPr>
        <w:tc>
          <w:tcPr>
            <w:tcW w:w="436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net of taxes</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65,394</w:t>
            </w:r>
          </w:p>
        </w:tc>
        <w:tc>
          <w:tcPr>
            <w:tcW w:w="10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66,165</w:t>
            </w:r>
          </w:p>
        </w:tc>
        <w:tc>
          <w:tcPr>
            <w:tcW w:w="200" w:type="dxa"/>
            <w:vAlign w:val="bottom"/>
            <w:tcBorders>
              <w:right w:val="single" w:sz="8" w:color="CFF0FC"/>
            </w:tcBorders>
            <w:shd w:val="clear" w:color="auto" w:fill="CFF0FC"/>
          </w:tcPr>
          <w:p>
            <w:pPr>
              <w:spacing w:after="0"/>
              <w:rPr>
                <w:sz w:val="18"/>
                <w:szCs w:val="18"/>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60,775</w:t>
            </w:r>
          </w:p>
        </w:tc>
        <w:tc>
          <w:tcPr>
            <w:tcW w:w="80" w:type="dxa"/>
            <w:vAlign w:val="bottom"/>
            <w:shd w:val="clear" w:color="auto" w:fill="CFF0FC"/>
          </w:tcPr>
          <w:p>
            <w:pPr>
              <w:spacing w:after="0"/>
              <w:rPr>
                <w:sz w:val="18"/>
                <w:szCs w:val="18"/>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00" w:firstLine="510"/>
        <w:spacing w:after="0"/>
        <w:rPr>
          <w:sz w:val="20"/>
          <w:szCs w:val="20"/>
          <w:color w:val="auto"/>
        </w:rPr>
      </w:pPr>
      <w:r>
        <w:rPr>
          <w:rFonts w:ascii="Arial" w:cs="Arial" w:eastAsia="Arial" w:hAnsi="Arial"/>
          <w:sz w:val="18"/>
          <w:szCs w:val="18"/>
          <w:color w:val="auto"/>
        </w:rPr>
        <w:t>In accordance with the authoritative guidance for share-based payments (ASC 718),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compensation cost that has been charged against income for the Equity Participation Plan under the authoritative guidance for</w:t>
      </w:r>
    </w:p>
    <w:p>
      <w:pPr>
        <w:spacing w:after="0" w:line="234" w:lineRule="auto"/>
        <w:rPr>
          <w:sz w:val="20"/>
          <w:szCs w:val="20"/>
          <w:color w:val="auto"/>
        </w:rPr>
      </w:pPr>
      <w:r>
        <w:rPr>
          <w:rFonts w:ascii="Arial" w:cs="Arial" w:eastAsia="Arial" w:hAnsi="Arial"/>
          <w:sz w:val="18"/>
          <w:szCs w:val="18"/>
          <w:color w:val="auto"/>
        </w:rPr>
        <w:t>share-based payments was $77.9 million, $81.5 million and $75.3 million, and for the Employee Stock Purchase Plan was $6.9 million,</w:t>
      </w:r>
    </w:p>
    <w:p>
      <w:pPr>
        <w:spacing w:after="0" w:line="235" w:lineRule="auto"/>
        <w:rPr>
          <w:sz w:val="20"/>
          <w:szCs w:val="20"/>
          <w:color w:val="auto"/>
        </w:rPr>
      </w:pPr>
      <w:r>
        <w:rPr>
          <w:rFonts w:ascii="Arial" w:cs="Arial" w:eastAsia="Arial" w:hAnsi="Arial"/>
          <w:sz w:val="18"/>
          <w:szCs w:val="18"/>
          <w:color w:val="auto"/>
        </w:rPr>
        <w:t>$5.0 million and $4.3 million, for the fiscal years ended March 31, 2021, March 31, 2020 and March 31, 2019, respectively. The Company</w:t>
      </w:r>
    </w:p>
    <w:p>
      <w:pPr>
        <w:spacing w:after="0" w:line="235" w:lineRule="auto"/>
        <w:rPr>
          <w:sz w:val="20"/>
          <w:szCs w:val="20"/>
          <w:color w:val="auto"/>
        </w:rPr>
      </w:pPr>
      <w:r>
        <w:rPr>
          <w:rFonts w:ascii="Arial" w:cs="Arial" w:eastAsia="Arial" w:hAnsi="Arial"/>
          <w:sz w:val="18"/>
          <w:szCs w:val="18"/>
          <w:color w:val="auto"/>
        </w:rPr>
        <w:t>capitalized $13.7 million, $12.6 million and $11.9 million of stock-based compensation expense as a part of the cost for software</w:t>
      </w:r>
    </w:p>
    <w:p>
      <w:pPr>
        <w:spacing w:after="0" w:line="235" w:lineRule="auto"/>
        <w:rPr>
          <w:sz w:val="20"/>
          <w:szCs w:val="20"/>
          <w:color w:val="auto"/>
        </w:rPr>
      </w:pPr>
      <w:r>
        <w:rPr>
          <w:rFonts w:ascii="Arial" w:cs="Arial" w:eastAsia="Arial" w:hAnsi="Arial"/>
          <w:sz w:val="18"/>
          <w:szCs w:val="18"/>
          <w:color w:val="auto"/>
        </w:rPr>
        <w:t>development for resale included in other assets and as a part of the equipment and software for internal use and satellites included in</w:t>
      </w:r>
    </w:p>
    <w:p>
      <w:pPr>
        <w:spacing w:after="0"/>
        <w:rPr>
          <w:sz w:val="20"/>
          <w:szCs w:val="20"/>
          <w:color w:val="auto"/>
        </w:rPr>
      </w:pPr>
      <w:r>
        <w:rPr>
          <w:rFonts w:ascii="Arial" w:cs="Arial" w:eastAsia="Arial" w:hAnsi="Arial"/>
          <w:sz w:val="18"/>
          <w:szCs w:val="18"/>
          <w:color w:val="auto"/>
        </w:rPr>
        <w:t>property, equipment and satellites, net for fiscal years 2021, 2020 and 2019,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100" w:firstLine="510"/>
        <w:spacing w:after="0" w:line="238" w:lineRule="auto"/>
        <w:rPr>
          <w:sz w:val="20"/>
          <w:szCs w:val="20"/>
          <w:color w:val="auto"/>
        </w:rPr>
      </w:pPr>
      <w:r>
        <w:rPr>
          <w:rFonts w:ascii="Arial" w:cs="Arial" w:eastAsia="Arial" w:hAnsi="Arial"/>
          <w:sz w:val="18"/>
          <w:szCs w:val="18"/>
          <w:color w:val="auto"/>
        </w:rPr>
        <w:t>As of March 31, 2021, total unrecognized compensation cost related to unvested stock-based compensation arrangements granted under the Equity Participation Plan (including stock options, TSR performance stock options and restricted stock units) and the Employee Stock Purchase Plan was $170.2 million and $1.4 million, respectively. These costs are expected to be recognized over a weighted average period of 1.2 years, 1.7 years and 2.8 years, for stock options, TSR performance stock options and restricted stock units, respectively, under the Equity Participation Plan and less than six months under the Employee Stock Purchase Plan.</w:t>
      </w:r>
    </w:p>
    <w:p>
      <w:pPr>
        <w:spacing w:after="0" w:line="130" w:lineRule="exact"/>
        <w:rPr>
          <w:sz w:val="20"/>
          <w:szCs w:val="20"/>
          <w:color w:val="auto"/>
        </w:rPr>
      </w:pPr>
    </w:p>
    <w:p>
      <w:pPr>
        <w:ind w:right="140" w:firstLine="510"/>
        <w:spacing w:after="0" w:line="254" w:lineRule="auto"/>
        <w:rPr>
          <w:sz w:val="20"/>
          <w:szCs w:val="20"/>
          <w:color w:val="auto"/>
        </w:rPr>
      </w:pPr>
      <w:r>
        <w:rPr>
          <w:rFonts w:ascii="Arial" w:cs="Arial" w:eastAsia="Arial" w:hAnsi="Arial"/>
          <w:sz w:val="17"/>
          <w:szCs w:val="17"/>
          <w:i w:val="1"/>
          <w:iCs w:val="1"/>
          <w:color w:val="auto"/>
        </w:rPr>
        <w:t xml:space="preserve">Stock options, TSR performance stock options and employee stock purchase plan. </w:t>
      </w:r>
      <w:r>
        <w:rPr>
          <w:rFonts w:ascii="Arial" w:cs="Arial" w:eastAsia="Arial" w:hAnsi="Arial"/>
          <w:sz w:val="17"/>
          <w:szCs w:val="17"/>
          <w:color w:val="auto"/>
        </w:rPr>
        <w:t>The Company’s stock options typically have a</w:t>
      </w:r>
      <w:r>
        <w:rPr>
          <w:rFonts w:ascii="Arial" w:cs="Arial" w:eastAsia="Arial" w:hAnsi="Arial"/>
          <w:sz w:val="17"/>
          <w:szCs w:val="17"/>
          <w:i w:val="1"/>
          <w:iCs w:val="1"/>
          <w:color w:val="auto"/>
        </w:rPr>
        <w:t xml:space="preserve"> </w:t>
      </w:r>
      <w:r>
        <w:rPr>
          <w:rFonts w:ascii="Arial" w:cs="Arial" w:eastAsia="Arial" w:hAnsi="Arial"/>
          <w:sz w:val="17"/>
          <w:szCs w:val="17"/>
          <w:color w:val="auto"/>
        </w:rPr>
        <w:t>simple four-year vesting schedule (except for one- and three-year vesting schedules for options granted to the members of the Company’s Board of Directors) and a six-year contractual term. The Company grants TSR performance stock options to executive officers under the 1996 Equity Participation Plan. The number of shares of TSR performance stock options that will become eligible to vest based on the time-</w:t>
      </w:r>
    </w:p>
    <w:p>
      <w:pPr>
        <w:spacing w:after="0" w:line="235" w:lineRule="auto"/>
        <w:rPr>
          <w:sz w:val="20"/>
          <w:szCs w:val="20"/>
          <w:color w:val="auto"/>
        </w:rPr>
      </w:pPr>
      <w:r>
        <w:rPr>
          <w:rFonts w:ascii="Arial" w:cs="Arial" w:eastAsia="Arial" w:hAnsi="Arial"/>
          <w:sz w:val="18"/>
          <w:szCs w:val="18"/>
          <w:color w:val="auto"/>
        </w:rPr>
        <w:t>based vesting schedule described below is based on a comparison over a four-year performance period of the Company’s TSR to the TSR of</w:t>
      </w:r>
    </w:p>
    <w:p>
      <w:pPr>
        <w:spacing w:after="0" w:line="235" w:lineRule="auto"/>
        <w:rPr>
          <w:sz w:val="20"/>
          <w:szCs w:val="20"/>
          <w:color w:val="auto"/>
        </w:rPr>
      </w:pPr>
      <w:r>
        <w:rPr>
          <w:rFonts w:ascii="Arial" w:cs="Arial" w:eastAsia="Arial" w:hAnsi="Arial"/>
          <w:sz w:val="18"/>
          <w:szCs w:val="18"/>
          <w:color w:val="auto"/>
        </w:rPr>
        <w:t>the companies included in the S&amp;P Mid Cap 400 Index. The number of options that may become vested and exercisable will range from 0%</w:t>
      </w:r>
    </w:p>
    <w:p>
      <w:pPr>
        <w:spacing w:after="0" w:line="234" w:lineRule="auto"/>
        <w:rPr>
          <w:sz w:val="20"/>
          <w:szCs w:val="20"/>
          <w:color w:val="auto"/>
        </w:rPr>
      </w:pPr>
      <w:r>
        <w:rPr>
          <w:rFonts w:ascii="Arial" w:cs="Arial" w:eastAsia="Arial" w:hAnsi="Arial"/>
          <w:sz w:val="18"/>
          <w:szCs w:val="18"/>
          <w:color w:val="auto"/>
        </w:rPr>
        <w:t>to 175% of the target number of options based on the Company’s relative TSR ranking for the performance period. The Company’s TSR</w:t>
      </w:r>
    </w:p>
    <w:p>
      <w:pPr>
        <w:spacing w:after="0" w:line="235" w:lineRule="auto"/>
        <w:rPr>
          <w:sz w:val="20"/>
          <w:szCs w:val="20"/>
          <w:color w:val="auto"/>
        </w:rPr>
      </w:pPr>
      <w:r>
        <w:rPr>
          <w:rFonts w:ascii="Arial" w:cs="Arial" w:eastAsia="Arial" w:hAnsi="Arial"/>
          <w:sz w:val="18"/>
          <w:szCs w:val="18"/>
          <w:color w:val="auto"/>
        </w:rPr>
        <w:t>performance stock options have a four-year time-based vesting schedule and a six-year contractual term. The TSR performance stock</w:t>
      </w:r>
    </w:p>
    <w:p>
      <w:pPr>
        <w:spacing w:after="0" w:line="235" w:lineRule="auto"/>
        <w:rPr>
          <w:sz w:val="20"/>
          <w:szCs w:val="20"/>
          <w:color w:val="auto"/>
        </w:rPr>
      </w:pPr>
      <w:r>
        <w:rPr>
          <w:rFonts w:ascii="Arial" w:cs="Arial" w:eastAsia="Arial" w:hAnsi="Arial"/>
          <w:sz w:val="18"/>
          <w:szCs w:val="18"/>
          <w:color w:val="auto"/>
        </w:rPr>
        <w:t>options must be vested under both the time-based vesting schedule and the performance-based vesting conditions in order to become</w:t>
      </w:r>
    </w:p>
    <w:p>
      <w:pPr>
        <w:spacing w:after="0" w:line="235" w:lineRule="auto"/>
        <w:rPr>
          <w:sz w:val="20"/>
          <w:szCs w:val="20"/>
          <w:color w:val="auto"/>
        </w:rPr>
      </w:pPr>
      <w:r>
        <w:rPr>
          <w:rFonts w:ascii="Arial" w:cs="Arial" w:eastAsia="Arial" w:hAnsi="Arial"/>
          <w:sz w:val="18"/>
          <w:szCs w:val="18"/>
          <w:color w:val="auto"/>
        </w:rPr>
        <w:t>exercisable. Expense for TSR performance stock options that time-vest is recognized regardless of the actual TSR outcome achieved and is</w:t>
      </w:r>
    </w:p>
    <w:p>
      <w:pPr>
        <w:spacing w:after="0" w:line="235" w:lineRule="auto"/>
        <w:rPr>
          <w:sz w:val="20"/>
          <w:szCs w:val="20"/>
          <w:color w:val="auto"/>
        </w:rPr>
      </w:pPr>
      <w:r>
        <w:rPr>
          <w:rFonts w:ascii="Arial" w:cs="Arial" w:eastAsia="Arial" w:hAnsi="Arial"/>
          <w:sz w:val="18"/>
          <w:szCs w:val="18"/>
          <w:color w:val="auto"/>
        </w:rPr>
        <w:t>recognized on a graded-vesting basis. The weighted average estimated fair value of TSR performance stock options granted during fiscal</w:t>
      </w:r>
    </w:p>
    <w:p>
      <w:pPr>
        <w:spacing w:after="0" w:line="234" w:lineRule="auto"/>
        <w:rPr>
          <w:sz w:val="20"/>
          <w:szCs w:val="20"/>
          <w:color w:val="auto"/>
        </w:rPr>
      </w:pPr>
      <w:r>
        <w:rPr>
          <w:rFonts w:ascii="Arial" w:cs="Arial" w:eastAsia="Arial" w:hAnsi="Arial"/>
          <w:sz w:val="18"/>
          <w:szCs w:val="18"/>
          <w:color w:val="auto"/>
        </w:rPr>
        <w:t>years 2021, 2020 and 2019 was $19.25, $30.41 and $32.32 per share, respectively, using the Monte Carlo simulation. The weighted average</w:t>
      </w:r>
    </w:p>
    <w:p>
      <w:pPr>
        <w:spacing w:after="0" w:line="235" w:lineRule="auto"/>
        <w:rPr>
          <w:sz w:val="20"/>
          <w:szCs w:val="20"/>
          <w:color w:val="auto"/>
        </w:rPr>
      </w:pPr>
      <w:r>
        <w:rPr>
          <w:rFonts w:ascii="Arial" w:cs="Arial" w:eastAsia="Arial" w:hAnsi="Arial"/>
          <w:sz w:val="18"/>
          <w:szCs w:val="18"/>
          <w:color w:val="auto"/>
        </w:rPr>
        <w:t>estimated fair value of stock options granted and employee stock purchase plan shares issued during fiscal year 2021 was $12.81 and</w:t>
      </w:r>
    </w:p>
    <w:p>
      <w:pPr>
        <w:spacing w:after="0" w:line="235" w:lineRule="auto"/>
        <w:rPr>
          <w:sz w:val="20"/>
          <w:szCs w:val="20"/>
          <w:color w:val="auto"/>
        </w:rPr>
      </w:pPr>
      <w:r>
        <w:rPr>
          <w:rFonts w:ascii="Arial" w:cs="Arial" w:eastAsia="Arial" w:hAnsi="Arial"/>
          <w:sz w:val="18"/>
          <w:szCs w:val="18"/>
          <w:color w:val="auto"/>
        </w:rPr>
        <w:t>$11.60 per share, respectively, during fiscal year 2020 was $20.15 and $17.15 per share, respectively, and during fiscal year 2019 was</w:t>
      </w:r>
    </w:p>
    <w:p>
      <w:pPr>
        <w:spacing w:after="0" w:line="235" w:lineRule="auto"/>
        <w:rPr>
          <w:sz w:val="20"/>
          <w:szCs w:val="20"/>
          <w:color w:val="auto"/>
        </w:rPr>
      </w:pPr>
      <w:r>
        <w:rPr>
          <w:rFonts w:ascii="Arial" w:cs="Arial" w:eastAsia="Arial" w:hAnsi="Arial"/>
          <w:sz w:val="18"/>
          <w:szCs w:val="18"/>
          <w:color w:val="auto"/>
        </w:rPr>
        <w:t>$18.35 and $15.14 per share, respectively, using the Black-Scholes model. The weighted average assumptions (annualized percentages)</w:t>
      </w:r>
    </w:p>
    <w:p>
      <w:pPr>
        <w:spacing w:after="0"/>
        <w:rPr>
          <w:sz w:val="20"/>
          <w:szCs w:val="20"/>
          <w:color w:val="auto"/>
        </w:rPr>
      </w:pPr>
      <w:r>
        <w:rPr>
          <w:rFonts w:ascii="Arial" w:cs="Arial" w:eastAsia="Arial" w:hAnsi="Arial"/>
          <w:sz w:val="18"/>
          <w:szCs w:val="18"/>
          <w:color w:val="auto"/>
        </w:rPr>
        <w:t>used in the Black-Scholes model and Monte Carlo simulation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Stock Options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rPr>
              <w:t>TSR Performance Stock Options</w:t>
            </w:r>
          </w:p>
        </w:tc>
        <w:tc>
          <w:tcPr>
            <w:tcW w:w="310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rPr>
              <w:t>Employee Stock Purchase Plan</w:t>
            </w:r>
          </w:p>
        </w:tc>
      </w:tr>
      <w:tr>
        <w:trPr>
          <w:trHeight w:val="139"/>
        </w:trPr>
        <w:tc>
          <w:tcPr>
            <w:tcW w:w="182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rPr>
              <w:t>Fiscal Year</w:t>
            </w: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Fiscal Year</w:t>
            </w:r>
          </w:p>
        </w:tc>
        <w:tc>
          <w:tcPr>
            <w:tcW w:w="7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Fiscal Year</w:t>
            </w:r>
          </w:p>
        </w:tc>
        <w:tc>
          <w:tcPr>
            <w:tcW w:w="2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00"/>
              <w:spacing w:after="0" w:line="139" w:lineRule="exact"/>
              <w:rPr>
                <w:sz w:val="20"/>
                <w:szCs w:val="20"/>
                <w:color w:val="auto"/>
              </w:rPr>
            </w:pPr>
            <w:r>
              <w:rPr>
                <w:rFonts w:ascii="Arial" w:cs="Arial" w:eastAsia="Arial" w:hAnsi="Arial"/>
                <w:sz w:val="13"/>
                <w:szCs w:val="13"/>
                <w:b w:val="1"/>
                <w:bCs w:val="1"/>
                <w:color w:val="auto"/>
              </w:rPr>
              <w:t>Fiscal Year</w:t>
            </w:r>
          </w:p>
        </w:tc>
        <w:tc>
          <w:tcPr>
            <w:tcW w:w="106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Fiscal Year</w:t>
            </w:r>
          </w:p>
        </w:tc>
        <w:tc>
          <w:tcPr>
            <w:tcW w:w="8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Fiscal Year</w:t>
            </w:r>
          </w:p>
        </w:tc>
        <w:tc>
          <w:tcPr>
            <w:tcW w:w="2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320"/>
              <w:spacing w:after="0" w:line="139" w:lineRule="exact"/>
              <w:rPr>
                <w:sz w:val="20"/>
                <w:szCs w:val="20"/>
                <w:color w:val="auto"/>
              </w:rPr>
            </w:pPr>
            <w:r>
              <w:rPr>
                <w:rFonts w:ascii="Arial" w:cs="Arial" w:eastAsia="Arial" w:hAnsi="Arial"/>
                <w:sz w:val="13"/>
                <w:szCs w:val="13"/>
                <w:b w:val="1"/>
                <w:bCs w:val="1"/>
                <w:color w:val="auto"/>
              </w:rPr>
              <w:t>Fiscal Year</w:t>
            </w:r>
          </w:p>
        </w:tc>
        <w:tc>
          <w:tcPr>
            <w:tcW w:w="106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Fiscal Year</w:t>
            </w:r>
          </w:p>
        </w:tc>
        <w:tc>
          <w:tcPr>
            <w:tcW w:w="8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b w:val="1"/>
                <w:bCs w:val="1"/>
                <w:color w:val="auto"/>
              </w:rPr>
              <w:t>Fiscal Year</w:t>
            </w:r>
          </w:p>
        </w:tc>
        <w:tc>
          <w:tcPr>
            <w:tcW w:w="160" w:type="dxa"/>
            <w:vAlign w:val="bottom"/>
          </w:tcPr>
          <w:p>
            <w:pPr>
              <w:spacing w:after="0"/>
              <w:rPr>
                <w:sz w:val="12"/>
                <w:szCs w:val="12"/>
                <w:color w:val="auto"/>
              </w:rPr>
            </w:pPr>
          </w:p>
        </w:tc>
      </w:tr>
      <w:tr>
        <w:trPr>
          <w:trHeight w:val="165"/>
        </w:trPr>
        <w:tc>
          <w:tcPr>
            <w:tcW w:w="18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CFF0FC"/>
            </w:tcBorders>
          </w:tcPr>
          <w:p>
            <w:pPr>
              <w:spacing w:after="0"/>
              <w:rPr>
                <w:sz w:val="14"/>
                <w:szCs w:val="14"/>
                <w:color w:val="auto"/>
              </w:rPr>
            </w:pPr>
          </w:p>
        </w:tc>
      </w:tr>
      <w:tr>
        <w:trPr>
          <w:trHeight w:val="196"/>
        </w:trPr>
        <w:tc>
          <w:tcPr>
            <w:tcW w:w="182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39.1%</w:t>
            </w: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27.9%</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39.8%</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27.7%</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28.2%</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64.8%</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24.6%</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32.8%</w:t>
            </w:r>
          </w:p>
        </w:tc>
      </w:tr>
      <w:tr>
        <w:trPr>
          <w:trHeight w:val="203"/>
        </w:trPr>
        <w:tc>
          <w:tcPr>
            <w:tcW w:w="18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1.3%</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0.1%</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03"/>
        </w:trPr>
        <w:tc>
          <w:tcPr>
            <w:tcW w:w="182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w:t>
            </w: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w:t>
            </w:r>
          </w:p>
        </w:tc>
      </w:tr>
      <w:tr>
        <w:trPr>
          <w:trHeight w:val="210"/>
        </w:trPr>
        <w:tc>
          <w:tcPr>
            <w:tcW w:w="1820" w:type="dxa"/>
            <w:vAlign w:val="bottom"/>
          </w:tcPr>
          <w:p>
            <w:pPr>
              <w:spacing w:after="0"/>
              <w:rPr>
                <w:sz w:val="20"/>
                <w:szCs w:val="20"/>
                <w:color w:val="auto"/>
              </w:rPr>
            </w:pPr>
            <w:r>
              <w:rPr>
                <w:rFonts w:ascii="Arial" w:cs="Arial" w:eastAsia="Arial" w:hAnsi="Arial"/>
                <w:sz w:val="16"/>
                <w:szCs w:val="16"/>
                <w:color w:val="auto"/>
              </w:rPr>
              <w:t>Expected life</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5.0 years</w:t>
            </w: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5.0 years</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0.5 years</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0.5 years</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0.5 years</w:t>
            </w:r>
          </w:p>
        </w:tc>
      </w:tr>
    </w:tbl>
    <w:p>
      <w:pPr>
        <w:spacing w:after="0" w:line="194" w:lineRule="exact"/>
        <w:rPr>
          <w:sz w:val="20"/>
          <w:szCs w:val="20"/>
          <w:color w:val="auto"/>
        </w:rPr>
      </w:pPr>
    </w:p>
    <w:p>
      <w:pPr>
        <w:ind w:right="60" w:firstLine="510"/>
        <w:spacing w:after="0" w:line="252" w:lineRule="auto"/>
        <w:rPr>
          <w:sz w:val="20"/>
          <w:szCs w:val="20"/>
          <w:color w:val="auto"/>
        </w:rPr>
      </w:pPr>
      <w:r>
        <w:rPr>
          <w:rFonts w:ascii="Arial" w:cs="Arial" w:eastAsia="Arial" w:hAnsi="Arial"/>
          <w:sz w:val="17"/>
          <w:szCs w:val="17"/>
          <w:color w:val="auto"/>
        </w:rPr>
        <w:t>The Company’s expected volatility is a measure of the amount by which its stock price is expected to fluctuate over the expected term of the stock-based award. The estimated volatilities for stock options and TSR performance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terms or lives of stock options and TSR performance stock options represent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fiscal year 2021 is presented below: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74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r>
      <w:tr>
        <w:trPr>
          <w:trHeight w:val="175"/>
        </w:trPr>
        <w:tc>
          <w:tcPr>
            <w:tcW w:w="474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 in Years</w:t>
            </w:r>
          </w:p>
        </w:tc>
        <w:tc>
          <w:tcPr>
            <w:tcW w:w="2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5"/>
                <w:szCs w:val="15"/>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1,225,233</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65.96</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34,000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40.25</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expired</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(302,500)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65.54</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956,733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65.18</w:t>
            </w:r>
          </w:p>
        </w:tc>
        <w:tc>
          <w:tcPr>
            <w:tcW w:w="14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Vested and exercisable at March 31, 2021</w:t>
            </w:r>
          </w:p>
        </w:tc>
        <w:tc>
          <w:tcPr>
            <w:tcW w:w="1100" w:type="dxa"/>
            <w:vAlign w:val="bottom"/>
          </w:tcPr>
          <w:p>
            <w:pPr>
              <w:jc w:val="right"/>
              <w:spacing w:after="0"/>
              <w:rPr>
                <w:sz w:val="20"/>
                <w:szCs w:val="20"/>
                <w:color w:val="auto"/>
              </w:rPr>
            </w:pPr>
            <w:r>
              <w:rPr>
                <w:rFonts w:ascii="Arial" w:cs="Arial" w:eastAsia="Arial" w:hAnsi="Arial"/>
                <w:sz w:val="18"/>
                <w:szCs w:val="18"/>
                <w:color w:val="auto"/>
              </w:rPr>
              <w:t>916,733</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66.11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total intrinsic value of stock options exercised during fiscal years 2021, 2020 and 2019 was zero, $7.9 million and $7.9 million, respectively. All options issued under the Company’s stock option plans have an exercise price equal to the fair market value of the Company’s stock on the date of the grant. The Company recorded no excess tax benefit during fiscal year 2021 and an insignificant amount of excess tax benefit during fiscal years 2020 and 2019 related to stock option exercises.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TSR performance stock option activity for fiscal year 2021 is presented below: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Weighted</w:t>
            </w:r>
          </w:p>
        </w:tc>
        <w:tc>
          <w:tcPr>
            <w:tcW w:w="1440" w:type="dxa"/>
            <w:vAlign w:val="bottom"/>
            <w:gridSpan w:val="2"/>
          </w:tcPr>
          <w:p>
            <w:pPr>
              <w:jc w:val="center"/>
              <w:ind w:left="119"/>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96"/>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740" w:type="dxa"/>
            <w:vAlign w:val="bottom"/>
          </w:tcPr>
          <w:p>
            <w:pPr>
              <w:spacing w:after="0"/>
              <w:rPr>
                <w:sz w:val="14"/>
                <w:szCs w:val="14"/>
                <w:color w:val="auto"/>
              </w:rPr>
            </w:pPr>
          </w:p>
        </w:tc>
        <w:tc>
          <w:tcPr>
            <w:tcW w:w="1100" w:type="dxa"/>
            <w:vAlign w:val="bottom"/>
          </w:tcPr>
          <w:p>
            <w:pPr>
              <w:jc w:val="right"/>
              <w:ind w:right="11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r>
      <w:tr>
        <w:trPr>
          <w:trHeight w:val="175"/>
        </w:trPr>
        <w:tc>
          <w:tcPr>
            <w:tcW w:w="474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Shares (1)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 in Years</w:t>
            </w:r>
          </w:p>
        </w:tc>
        <w:tc>
          <w:tcPr>
            <w:tcW w:w="2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FF0FC"/>
            </w:tcBorders>
          </w:tcPr>
          <w:p>
            <w:pPr>
              <w:spacing w:after="0"/>
              <w:rPr>
                <w:sz w:val="15"/>
                <w:szCs w:val="15"/>
                <w:color w:val="auto"/>
              </w:rPr>
            </w:pPr>
          </w:p>
        </w:tc>
      </w:tr>
      <w:tr>
        <w:trPr>
          <w:trHeight w:val="20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1,630,806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71.52</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ind w:left="240"/>
              <w:spacing w:after="0"/>
              <w:rPr>
                <w:sz w:val="20"/>
                <w:szCs w:val="20"/>
                <w:color w:val="auto"/>
              </w:rPr>
            </w:pPr>
            <w:r>
              <w:rPr>
                <w:rFonts w:ascii="Arial" w:cs="Arial" w:eastAsia="Arial" w:hAnsi="Arial"/>
                <w:sz w:val="18"/>
                <w:szCs w:val="18"/>
                <w:color w:val="auto"/>
              </w:rPr>
              <w:t>TSR performance options 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784,653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35.66</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TSR performance options canceled</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TSR performance options exercised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0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2,415,459</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59.87</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8"/>
                <w:szCs w:val="18"/>
                <w:color w:val="auto"/>
              </w:rPr>
              <w:t>Vested and exercisable at March 31, 2021</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6769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209"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Number of shares is based on the target number of options under each TSR performance stock option.</w:t>
      </w:r>
    </w:p>
    <w:p>
      <w:pPr>
        <w:spacing w:after="0" w:line="180" w:lineRule="exact"/>
        <w:rPr>
          <w:sz w:val="20"/>
          <w:szCs w:val="20"/>
          <w:color w:val="auto"/>
        </w:rPr>
      </w:pPr>
    </w:p>
    <w:p>
      <w:pPr>
        <w:ind w:firstLine="510"/>
        <w:spacing w:after="0" w:line="239"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represent a right to receive shares of common stock at a future date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(except for one- and three-year vesting schedules for restricted stock units granted to the members of the Company’s Board of Directors). Compensation cost for these awards is based on the fair value on the date of grant and recognized as compensation expense on a straight-line basis over the requisite service period. For fiscal years 2021, 2020 and 2019, the Company recognized $59.4 million, $62.4 million and $58.8 million, respectively, in stock-based compensation expense related to these restricted stock unit awards.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97" w:name="page98"/>
    <w:bookmarkEnd w:id="97"/>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400" w:firstLine="510"/>
        <w:spacing w:after="0" w:line="246"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2021, 2020 and 2019 was $36.57, $71.59 and $67.88, respectively. A summary of restricted stock unit activity for fiscal year 2021 is presented below:</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 Grant</w:t>
            </w:r>
          </w:p>
        </w:tc>
      </w:tr>
      <w:tr>
        <w:trPr>
          <w:trHeight w:val="162"/>
        </w:trPr>
        <w:tc>
          <w:tcPr>
            <w:tcW w:w="538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Date Fair Value</w:t>
            </w:r>
          </w:p>
        </w:tc>
      </w:tr>
      <w:tr>
        <w:trPr>
          <w:trHeight w:val="175"/>
        </w:trPr>
        <w:tc>
          <w:tcPr>
            <w:tcW w:w="538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w:t>
            </w:r>
          </w:p>
        </w:tc>
      </w:tr>
      <w:tr>
        <w:trPr>
          <w:trHeight w:val="209"/>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3,020,308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69.35</w:t>
            </w: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380" w:type="dxa"/>
            <w:vAlign w:val="bottom"/>
          </w:tcPr>
          <w:p>
            <w:pPr>
              <w:ind w:left="240"/>
              <w:spacing w:after="0"/>
              <w:rPr>
                <w:sz w:val="20"/>
                <w:szCs w:val="20"/>
                <w:color w:val="auto"/>
              </w:rPr>
            </w:pPr>
            <w:r>
              <w:rPr>
                <w:rFonts w:ascii="Arial" w:cs="Arial" w:eastAsia="Arial" w:hAnsi="Arial"/>
                <w:sz w:val="18"/>
                <w:szCs w:val="18"/>
                <w:color w:val="auto"/>
              </w:rPr>
              <w:t>Awarded</w:t>
            </w:r>
          </w:p>
        </w:tc>
        <w:tc>
          <w:tcPr>
            <w:tcW w:w="1060" w:type="dxa"/>
            <w:vAlign w:val="bottom"/>
          </w:tcPr>
          <w:p>
            <w:pPr>
              <w:jc w:val="right"/>
              <w:spacing w:after="0"/>
              <w:rPr>
                <w:sz w:val="20"/>
                <w:szCs w:val="20"/>
                <w:color w:val="auto"/>
              </w:rPr>
            </w:pPr>
            <w:r>
              <w:rPr>
                <w:rFonts w:ascii="Arial" w:cs="Arial" w:eastAsia="Arial" w:hAnsi="Arial"/>
                <w:sz w:val="18"/>
                <w:szCs w:val="18"/>
                <w:color w:val="auto"/>
              </w:rPr>
              <w:t>1,643,114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36.57</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(167,181)</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65.42</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(1,064,680)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70.64</w:t>
            </w:r>
          </w:p>
        </w:tc>
        <w:tc>
          <w:tcPr>
            <w:tcW w:w="80" w:type="dxa"/>
            <w:vAlign w:val="bottom"/>
          </w:tcPr>
          <w:p>
            <w:pPr>
              <w:spacing w:after="0"/>
              <w:rPr>
                <w:sz w:val="18"/>
                <w:szCs w:val="18"/>
                <w:color w:val="auto"/>
              </w:rPr>
            </w:pPr>
          </w:p>
        </w:tc>
      </w:tr>
      <w:tr>
        <w:trPr>
          <w:trHeight w:val="209"/>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3,431,561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53.44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Vested and deferred at March 31, 2021</w:t>
            </w:r>
          </w:p>
        </w:tc>
        <w:tc>
          <w:tcPr>
            <w:tcW w:w="1060" w:type="dxa"/>
            <w:vAlign w:val="bottom"/>
          </w:tcPr>
          <w:p>
            <w:pPr>
              <w:jc w:val="right"/>
              <w:spacing w:after="0"/>
              <w:rPr>
                <w:sz w:val="20"/>
                <w:szCs w:val="20"/>
                <w:color w:val="auto"/>
              </w:rPr>
            </w:pPr>
            <w:r>
              <w:rPr>
                <w:rFonts w:ascii="Arial" w:cs="Arial" w:eastAsia="Arial" w:hAnsi="Arial"/>
                <w:sz w:val="18"/>
                <w:szCs w:val="18"/>
                <w:color w:val="auto"/>
              </w:rPr>
              <w:t>188,717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47.01</w:t>
            </w:r>
          </w:p>
        </w:tc>
        <w:tc>
          <w:tcPr>
            <w:tcW w:w="80" w:type="dxa"/>
            <w:vAlign w:val="bottom"/>
          </w:tcPr>
          <w:p>
            <w:pPr>
              <w:spacing w:after="0"/>
              <w:rPr>
                <w:sz w:val="18"/>
                <w:szCs w:val="18"/>
                <w:color w:val="auto"/>
              </w:rPr>
            </w:pPr>
          </w:p>
        </w:tc>
      </w:tr>
    </w:tbl>
    <w:p>
      <w:pPr>
        <w:spacing w:after="0" w:line="188" w:lineRule="exact"/>
        <w:rPr>
          <w:sz w:val="20"/>
          <w:szCs w:val="20"/>
          <w:color w:val="auto"/>
        </w:rPr>
      </w:pPr>
    </w:p>
    <w:p>
      <w:pPr>
        <w:ind w:right="280" w:firstLine="510"/>
        <w:spacing w:after="0" w:line="246" w:lineRule="auto"/>
        <w:rPr>
          <w:sz w:val="20"/>
          <w:szCs w:val="20"/>
          <w:color w:val="auto"/>
        </w:rPr>
      </w:pPr>
      <w:r>
        <w:rPr>
          <w:rFonts w:ascii="Arial" w:cs="Arial" w:eastAsia="Arial" w:hAnsi="Arial"/>
          <w:sz w:val="18"/>
          <w:szCs w:val="18"/>
          <w:color w:val="auto"/>
        </w:rPr>
        <w:t>The total fair value of shares vested related to restricted stock units during the fiscal years 2021, 2020 and 2019 was $38.8 million, $80.4 million and $81.1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Shares Used In Computing Diluted Net Income (Loss) Per Share</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9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 2020</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598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Common shares outstanding used in calculating basic</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 per share attributable to Viasat,</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tcPr>
          <w:p>
            <w:pPr>
              <w:ind w:left="140"/>
              <w:spacing w:after="0" w:line="203" w:lineRule="exact"/>
              <w:rPr>
                <w:sz w:val="20"/>
                <w:szCs w:val="20"/>
                <w:color w:val="auto"/>
              </w:rPr>
            </w:pPr>
            <w:r>
              <w:rPr>
                <w:rFonts w:ascii="Arial" w:cs="Arial" w:eastAsia="Arial" w:hAnsi="Arial"/>
                <w:sz w:val="18"/>
                <w:szCs w:val="18"/>
                <w:color w:val="auto"/>
              </w:rPr>
              <w:t>Inc. common stockholders</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66,444</w:t>
            </w:r>
          </w:p>
        </w:tc>
        <w:tc>
          <w:tcPr>
            <w:tcW w:w="1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61,632</w:t>
            </w:r>
          </w:p>
        </w:tc>
        <w:tc>
          <w:tcPr>
            <w:tcW w:w="2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59,942</w:t>
            </w:r>
          </w:p>
        </w:tc>
        <w:tc>
          <w:tcPr>
            <w:tcW w:w="100" w:type="dxa"/>
            <w:vAlign w:val="bottom"/>
          </w:tcPr>
          <w:p>
            <w:pPr>
              <w:spacing w:after="0"/>
              <w:rPr>
                <w:sz w:val="17"/>
                <w:szCs w:val="17"/>
                <w:color w:val="auto"/>
              </w:rPr>
            </w:pPr>
          </w:p>
        </w:tc>
      </w:tr>
      <w:tr>
        <w:trPr>
          <w:trHeight w:val="215"/>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to acquire common stock as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9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determined by application of the treasury stock</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method</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Potentially issuable shares in connection with certain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tcPr>
          <w:p>
            <w:pPr>
              <w:ind w:left="140"/>
              <w:spacing w:after="0" w:line="202" w:lineRule="exact"/>
              <w:rPr>
                <w:sz w:val="20"/>
                <w:szCs w:val="20"/>
                <w:color w:val="auto"/>
              </w:rPr>
            </w:pPr>
            <w:r>
              <w:rPr>
                <w:rFonts w:ascii="Arial" w:cs="Arial" w:eastAsia="Arial" w:hAnsi="Arial"/>
                <w:sz w:val="18"/>
                <w:szCs w:val="18"/>
                <w:color w:val="auto"/>
              </w:rPr>
              <w:t>terms of the Viasat 401(k) Profit Sharing Plan and</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tcPr>
          <w:p>
            <w:pPr>
              <w:ind w:left="140"/>
              <w:spacing w:after="0" w:line="203" w:lineRule="exact"/>
              <w:rPr>
                <w:sz w:val="20"/>
                <w:szCs w:val="20"/>
                <w:color w:val="auto"/>
              </w:rPr>
            </w:pPr>
            <w:r>
              <w:rPr>
                <w:rFonts w:ascii="Arial" w:cs="Arial" w:eastAsia="Arial" w:hAnsi="Arial"/>
                <w:sz w:val="18"/>
                <w:szCs w:val="18"/>
                <w:color w:val="auto"/>
              </w:rPr>
              <w:t>Employee Stock Purchase Plan</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406</w:t>
            </w:r>
          </w:p>
        </w:tc>
        <w:tc>
          <w:tcPr>
            <w:tcW w:w="240" w:type="dxa"/>
            <w:vAlign w:val="bottom"/>
          </w:tcPr>
          <w:p>
            <w:pPr>
              <w:spacing w:after="0"/>
              <w:rPr>
                <w:sz w:val="17"/>
                <w:szCs w:val="17"/>
                <w:color w:val="auto"/>
              </w:rPr>
            </w:pPr>
          </w:p>
        </w:tc>
        <w:tc>
          <w:tcPr>
            <w:tcW w:w="14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diluted net income (loss) per</w:t>
            </w: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59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share attributable to Viasat, Inc. common</w:t>
            </w: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stockholders</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67,020</w:t>
            </w:r>
          </w:p>
        </w:tc>
        <w:tc>
          <w:tcPr>
            <w:tcW w:w="14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61,632</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59,942</w:t>
            </w:r>
          </w:p>
        </w:tc>
        <w:tc>
          <w:tcPr>
            <w:tcW w:w="100" w:type="dxa"/>
            <w:vAlign w:val="bottom"/>
            <w:shd w:val="clear" w:color="auto" w:fill="CFF0FC"/>
          </w:tcPr>
          <w:p>
            <w:pPr>
              <w:spacing w:after="0"/>
              <w:rPr>
                <w:sz w:val="17"/>
                <w:szCs w:val="17"/>
                <w:color w:val="auto"/>
              </w:rPr>
            </w:pPr>
          </w:p>
        </w:tc>
      </w:tr>
      <w:tr>
        <w:trPr>
          <w:trHeight w:val="20"/>
        </w:trPr>
        <w:tc>
          <w:tcPr>
            <w:tcW w:w="598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60" w:firstLine="510"/>
        <w:spacing w:after="0"/>
        <w:rPr>
          <w:sz w:val="20"/>
          <w:szCs w:val="20"/>
          <w:color w:val="auto"/>
        </w:rPr>
      </w:pPr>
      <w:r>
        <w:rPr>
          <w:rFonts w:ascii="Arial" w:cs="Arial" w:eastAsia="Arial" w:hAnsi="Arial"/>
          <w:sz w:val="18"/>
          <w:szCs w:val="18"/>
          <w:color w:val="auto"/>
        </w:rPr>
        <w:t>Antidilutive shares excluded from the calculation for the fiscal year ended March 31, 2021 consisted of 1,119,819 shares related to stock options (other than TSR performance stock options), 475,371 shares related to TSR performance stock options and 2,205,085 shares related to restricted stock units.</w:t>
      </w:r>
    </w:p>
    <w:p>
      <w:pPr>
        <w:spacing w:after="0" w:line="149"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fiscal years ended March 31, 2020 and 2019, as the Company incurred a net loss attributable to Viasat, Inc. common stockholders for such periods and inclusion of potentially dilutive weighted average shares of common stock would be antidilutive. Potentially dilutive weighted average shares excluded from the calculation for fiscal years 2020 and 2019, respectively, consisted of 591,396 and 1,291,503 shares related to stock options (other than TSR performance stock options), 138,026 and 871,343 shares related to TSR performance stock options, 841,890 and 612,318 shares related to restricted stock units, and 446,603 and 215,956 shares related to certain terms of the Viasat 401(k) Profit Sharing Plan and Employee Stock Purchase Plan.</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(loss) before income taxes by jurisdiction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rPr>
              <w:t>Fiscal Years Ended</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36"/>
              <w:spacing w:after="0" w:line="156"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jc w:val="center"/>
              <w:ind w:right="128"/>
              <w:spacing w:after="0" w:line="156"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4"/>
          </w:tcPr>
          <w:p>
            <w:pPr>
              <w:jc w:val="center"/>
              <w:ind w:right="240"/>
              <w:spacing w:after="0" w:line="156" w:lineRule="exact"/>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center"/>
              <w:ind w:right="1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48,443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27,000</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(102,643)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ind w:left="11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(22,457)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(25,572)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(7,838)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25,986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(110,481)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3"/>
            <w:vMerge w:val="restart"/>
          </w:tcPr>
          <w:p>
            <w:pPr>
              <w:ind w:left="520"/>
              <w:spacing w:after="0"/>
              <w:rPr>
                <w:sz w:val="20"/>
                <w:szCs w:val="20"/>
                <w:color w:val="auto"/>
              </w:rPr>
            </w:pPr>
            <w:r>
              <w:rPr>
                <w:rFonts w:ascii="Arial" w:cs="Arial" w:eastAsia="Arial" w:hAnsi="Arial"/>
                <w:sz w:val="18"/>
                <w:szCs w:val="18"/>
                <w:color w:val="auto"/>
              </w:rPr>
              <w:t>The (provision for) benefit from income taxes includes the following:</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4"/>
                <w:szCs w:val="14"/>
                <w:b w:val="1"/>
                <w:bCs w:val="1"/>
                <w:color w:val="auto"/>
              </w:rPr>
              <w:t>Fiscal Years Ended</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36"/>
              <w:spacing w:after="0" w:line="156"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4"/>
          </w:tcPr>
          <w:p>
            <w:pPr>
              <w:jc w:val="center"/>
              <w:ind w:right="128"/>
              <w:spacing w:after="0" w:line="156"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4"/>
          </w:tcPr>
          <w:p>
            <w:pPr>
              <w:jc w:val="center"/>
              <w:ind w:right="240"/>
              <w:spacing w:after="0" w:line="156" w:lineRule="exact"/>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1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center"/>
              <w:ind w:right="148"/>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tcPr>
          <w:p>
            <w:pPr>
              <w:jc w:val="center"/>
              <w:ind w:right="8"/>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tax provision</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(5,935)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(821)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(1,465)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(1,619)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(11,510)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(7,727)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(3,130)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gridSpan w:val="3"/>
          </w:tcPr>
          <w:p>
            <w:pPr>
              <w:ind w:left="1140"/>
              <w:spacing w:after="0"/>
              <w:rPr>
                <w:sz w:val="20"/>
                <w:szCs w:val="20"/>
                <w:color w:val="auto"/>
              </w:rPr>
            </w:pPr>
            <w:r>
              <w:rPr>
                <w:rFonts w:ascii="Arial" w:cs="Arial" w:eastAsia="Arial" w:hAnsi="Arial"/>
                <w:sz w:val="18"/>
                <w:szCs w:val="18"/>
                <w:color w:val="auto"/>
              </w:rPr>
              <w:t>Deferred tax benefit</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9,889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34,099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2"/>
          </w:tcPr>
          <w:p>
            <w:pPr>
              <w:ind w:left="24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5,797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8,738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1,307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44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2,069</w:t>
            </w:r>
          </w:p>
        </w:tc>
        <w:tc>
          <w:tcPr>
            <w:tcW w:w="1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15,642</w:t>
            </w:r>
          </w:p>
        </w:tc>
        <w:tc>
          <w:tcPr>
            <w:tcW w:w="1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44,144</w:t>
            </w:r>
          </w:p>
        </w:tc>
        <w:tc>
          <w:tcPr>
            <w:tcW w:w="80" w:type="dxa"/>
            <w:vAlign w:val="bottom"/>
            <w:tcBorders>
              <w:bottom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(provision for) benefit from income taxes</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(9,441)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7,915</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41,014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700" w:type="dxa"/>
            <w:vAlign w:val="bottom"/>
            <w:tcBorders>
              <w:top w:val="single" w:sz="8" w:color="CFF0FC"/>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520" w:type="dxa"/>
            <w:vAlign w:val="bottom"/>
            <w:gridSpan w:val="7"/>
          </w:tcPr>
          <w:p>
            <w:pPr>
              <w:ind w:left="520"/>
              <w:spacing w:after="0"/>
              <w:rPr>
                <w:sz w:val="20"/>
                <w:szCs w:val="20"/>
                <w:color w:val="auto"/>
              </w:rPr>
            </w:pPr>
            <w:r>
              <w:rPr>
                <w:rFonts w:ascii="Arial" w:cs="Arial" w:eastAsia="Arial" w:hAnsi="Arial"/>
                <w:sz w:val="18"/>
                <w:szCs w:val="18"/>
                <w:color w:val="auto"/>
              </w:rPr>
              <w:t>Significant components of the Company’s net deferred tax assets are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0" w:type="dxa"/>
            <w:vAlign w:val="bottom"/>
            <w:gridSpan w:val="5"/>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760" w:type="dxa"/>
            <w:vAlign w:val="bottom"/>
            <w:gridSpan w:val="7"/>
          </w:tcPr>
          <w:p>
            <w:pPr>
              <w:jc w:val="right"/>
              <w:ind w:right="880"/>
              <w:spacing w:after="0" w:line="156" w:lineRule="exact"/>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16"/>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187,900</w:t>
            </w:r>
          </w:p>
        </w:tc>
        <w:tc>
          <w:tcPr>
            <w:tcW w:w="80" w:type="dxa"/>
            <w:vAlign w:val="bottom"/>
          </w:tcPr>
          <w:p>
            <w:pPr>
              <w:spacing w:after="0"/>
              <w:rPr>
                <w:sz w:val="18"/>
                <w:szCs w:val="18"/>
                <w:color w:val="auto"/>
              </w:rPr>
            </w:pPr>
          </w:p>
        </w:tc>
        <w:tc>
          <w:tcPr>
            <w:tcW w:w="58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217,883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credit carryforwards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272,126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248,425</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88,259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78,114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21,345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24,840</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82,222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62,691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7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8"/>
              </w:rPr>
              <w:t>(47,076)</w:t>
            </w:r>
          </w:p>
        </w:tc>
        <w:tc>
          <w:tcPr>
            <w:tcW w:w="14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7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(42,621)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604,776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589,332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(71,335)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(71,116)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equipment and satellites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(142,899)</w:t>
            </w:r>
          </w:p>
        </w:tc>
        <w:tc>
          <w:tcPr>
            <w:tcW w:w="134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(142,049)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Operating lease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(83,065)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(73,446)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spacing w:after="0"/>
              <w:rPr>
                <w:sz w:val="18"/>
                <w:szCs w:val="18"/>
                <w:color w:val="auto"/>
              </w:rPr>
            </w:pPr>
          </w:p>
        </w:tc>
        <w:tc>
          <w:tcPr>
            <w:tcW w:w="7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8"/>
              </w:rPr>
              <w:t>(34,208)</w:t>
            </w:r>
          </w:p>
        </w:tc>
        <w:tc>
          <w:tcPr>
            <w:tcW w:w="140" w:type="dxa"/>
            <w:vAlign w:val="bottom"/>
            <w:shd w:val="clear" w:color="auto" w:fill="CFF0FC"/>
          </w:tcPr>
          <w:p>
            <w:pPr>
              <w:spacing w:after="0"/>
              <w:rPr>
                <w:sz w:val="18"/>
                <w:szCs w:val="18"/>
                <w:color w:val="auto"/>
              </w:rPr>
            </w:pPr>
          </w:p>
        </w:tc>
        <w:tc>
          <w:tcPr>
            <w:tcW w:w="440" w:type="dxa"/>
            <w:vAlign w:val="bottom"/>
            <w:tcBorders>
              <w:right w:val="single" w:sz="8" w:color="CFF0FC"/>
            </w:tcBorders>
            <w:shd w:val="clear" w:color="auto" w:fill="CFF0FC"/>
          </w:tcPr>
          <w:p>
            <w:pPr>
              <w:spacing w:after="0"/>
              <w:rPr>
                <w:sz w:val="18"/>
                <w:szCs w:val="18"/>
                <w:color w:val="auto"/>
              </w:rPr>
            </w:pPr>
          </w:p>
        </w:tc>
        <w:tc>
          <w:tcPr>
            <w:tcW w:w="7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(27,374)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(331,507)</w:t>
            </w:r>
          </w:p>
        </w:tc>
        <w:tc>
          <w:tcPr>
            <w:tcW w:w="1340" w:type="dxa"/>
            <w:vAlign w:val="bottom"/>
            <w:gridSpan w:val="6"/>
          </w:tcPr>
          <w:p>
            <w:pPr>
              <w:jc w:val="right"/>
              <w:ind w:right="20"/>
              <w:spacing w:after="0"/>
              <w:rPr>
                <w:sz w:val="20"/>
                <w:szCs w:val="20"/>
                <w:color w:val="auto"/>
              </w:rPr>
            </w:pPr>
            <w:r>
              <w:rPr>
                <w:rFonts w:ascii="Arial" w:cs="Arial" w:eastAsia="Arial" w:hAnsi="Arial"/>
                <w:sz w:val="18"/>
                <w:szCs w:val="18"/>
                <w:color w:val="auto"/>
              </w:rPr>
              <w:t>(313,985)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jc w:val="right"/>
              <w:ind w:right="316"/>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2"/>
              </w:rPr>
              <w:t>273,269</w:t>
            </w:r>
          </w:p>
        </w:tc>
        <w:tc>
          <w:tcPr>
            <w:tcW w:w="80" w:type="dxa"/>
            <w:vAlign w:val="bottom"/>
            <w:shd w:val="clear" w:color="auto" w:fill="CFF0FC"/>
          </w:tcPr>
          <w:p>
            <w:pPr>
              <w:spacing w:after="0"/>
              <w:rPr>
                <w:sz w:val="18"/>
                <w:szCs w:val="18"/>
                <w:color w:val="auto"/>
              </w:rPr>
            </w:pPr>
          </w:p>
        </w:tc>
        <w:tc>
          <w:tcPr>
            <w:tcW w:w="580" w:type="dxa"/>
            <w:vAlign w:val="bottom"/>
            <w:tcBorders>
              <w:right w:val="single" w:sz="8" w:color="CFF0FC"/>
            </w:tcBorders>
            <w:gridSpan w:val="2"/>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275,347</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Borders>
              <w:top w:val="single" w:sz="8" w:color="CFF0FC"/>
              <w:bottom w:val="single" w:sz="8" w:color="CFF0FC"/>
            </w:tcBorders>
            <w:vMerge w:val="restart"/>
          </w:tcPr>
          <w:p>
            <w:pPr>
              <w:ind w:left="3740"/>
              <w:spacing w:after="0"/>
              <w:rPr>
                <w:sz w:val="20"/>
                <w:szCs w:val="20"/>
                <w:color w:val="auto"/>
              </w:rPr>
            </w:pPr>
            <w:r>
              <w:rPr>
                <w:rFonts w:ascii="Arial" w:cs="Arial" w:eastAsia="Arial" w:hAnsi="Arial"/>
                <w:sz w:val="18"/>
                <w:szCs w:val="18"/>
                <w:color w:val="auto"/>
              </w:rPr>
              <w:t>F-35</w:t>
            </w: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160" w:firstLine="510"/>
        <w:spacing w:after="0" w:line="246" w:lineRule="auto"/>
        <w:rPr>
          <w:sz w:val="20"/>
          <w:szCs w:val="20"/>
          <w:color w:val="auto"/>
        </w:rPr>
      </w:pPr>
      <w:r>
        <w:rPr>
          <w:rFonts w:ascii="Arial" w:cs="Arial" w:eastAsia="Arial" w:hAnsi="Arial"/>
          <w:sz w:val="18"/>
          <w:szCs w:val="18"/>
          <w:color w:val="auto"/>
        </w:rPr>
        <w:t>A reconciliation of the (provision for) benefit from income taxes to the amount computed by applying the statutory federal income tax rate to income (loss) before income taxes is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28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69"/>
        </w:trPr>
        <w:tc>
          <w:tcPr>
            <w:tcW w:w="4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Tax (provision) benefit at federal statutory rate</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(5,457)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23,201</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State tax (provision) benefit, net of federal benefit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Tax credits, net of valuation allowance</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24,272</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25,153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26,836</w:t>
            </w:r>
          </w:p>
        </w:tc>
        <w:tc>
          <w:tcPr>
            <w:tcW w:w="8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(7,150)</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(4,527)</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Non-deductible meals and entertainment</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(9,901)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Change in federal tax rate due to 2020 CARES</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5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Act and 2017 Tax Cuts and Jobs Act</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567</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Change in state effective tax rate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(684)</w:t>
            </w: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Foreign effective tax rate differential, net of</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5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valuation allowance</w:t>
            </w: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(3,046)</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(5,707)</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(1,552)</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Unremitted subsidiary gains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(1,388)</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(1,938)</w:t>
            </w:r>
          </w:p>
        </w:tc>
      </w:tr>
      <w:tr>
        <w:trPr>
          <w:trHeight w:val="20"/>
        </w:trPr>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4580" w:type="dxa"/>
            <w:vAlign w:val="bottom"/>
          </w:tcPr>
          <w:p>
            <w:pPr>
              <w:spacing w:after="0"/>
              <w:rPr>
                <w:sz w:val="20"/>
                <w:szCs w:val="20"/>
                <w:color w:val="auto"/>
              </w:rPr>
            </w:pPr>
            <w:r>
              <w:rPr>
                <w:rFonts w:ascii="Arial" w:cs="Arial" w:eastAsia="Arial" w:hAnsi="Arial"/>
                <w:sz w:val="18"/>
                <w:szCs w:val="18"/>
                <w:color w:val="auto"/>
              </w:rPr>
              <w:t>Total (provision for) benefit from income taxes</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(9,441)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7,915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41,014</w:t>
            </w:r>
          </w:p>
        </w:tc>
        <w:tc>
          <w:tcPr>
            <w:tcW w:w="8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10"/>
        <w:spacing w:after="0" w:line="238" w:lineRule="auto"/>
        <w:rPr>
          <w:sz w:val="20"/>
          <w:szCs w:val="20"/>
          <w:color w:val="auto"/>
        </w:rPr>
      </w:pPr>
      <w:r>
        <w:rPr>
          <w:rFonts w:ascii="Arial" w:cs="Arial" w:eastAsia="Arial" w:hAnsi="Arial"/>
          <w:sz w:val="18"/>
          <w:szCs w:val="18"/>
          <w:color w:val="auto"/>
        </w:rPr>
        <w:t>As of March 31, 2021, the Company had federal and state research &amp; development (R&amp;D) tax credit carryforwards of $214.2 million and $174.6 million, respectively, which begin to expire in fiscal year 2026 and fiscal year 2022, respectively. As of March 31, 2021, the Company also had foreign tax credit carryforwards of approximately $1.9 million, which begin to expire in fiscal year 2022. As of March 31, 2021, the Company had federal and state net operating loss carryforwards of $687.1 million and $560.1 million, respectively, both of which begin to expire in fiscal year 2022.</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accordance with the authoritative guidance for income taxes (ASC 740), net deferred tax assets are reduced by a valuation</w:t>
      </w:r>
    </w:p>
    <w:p>
      <w:pPr>
        <w:spacing w:after="0" w:line="234" w:lineRule="auto"/>
        <w:rPr>
          <w:sz w:val="20"/>
          <w:szCs w:val="20"/>
          <w:color w:val="auto"/>
        </w:rPr>
      </w:pPr>
      <w:r>
        <w:rPr>
          <w:rFonts w:ascii="Arial" w:cs="Arial" w:eastAsia="Arial" w:hAnsi="Arial"/>
          <w:sz w:val="18"/>
          <w:szCs w:val="18"/>
          <w:color w:val="auto"/>
        </w:rPr>
        <w:t>allowance if, based on all the available evidence, it is more likely than not that some or all of the deferred tax assets will not be realized.</w:t>
      </w:r>
    </w:p>
    <w:p>
      <w:pPr>
        <w:spacing w:after="0" w:line="235"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appropriate character (for example, ordinary income versus capital gains) within the carryforward period available under tax law. In the event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that the Company’s estimate of taxable income is less than that required to utilize the full amount of any deferred tax asset, a valuation</w:t>
      </w:r>
    </w:p>
    <w:p>
      <w:pPr>
        <w:spacing w:after="0" w:line="234" w:lineRule="auto"/>
        <w:rPr>
          <w:sz w:val="20"/>
          <w:szCs w:val="20"/>
          <w:color w:val="auto"/>
        </w:rPr>
      </w:pPr>
      <w:r>
        <w:rPr>
          <w:rFonts w:ascii="Arial" w:cs="Arial" w:eastAsia="Arial" w:hAnsi="Arial"/>
          <w:sz w:val="18"/>
          <w:szCs w:val="18"/>
          <w:color w:val="auto"/>
        </w:rPr>
        <w:t>allowance is established, which would cause a decrease to income in the period such determination is made. A valuation allowance of</w:t>
      </w:r>
    </w:p>
    <w:p>
      <w:pPr>
        <w:spacing w:after="0" w:line="235" w:lineRule="auto"/>
        <w:rPr>
          <w:sz w:val="20"/>
          <w:szCs w:val="20"/>
          <w:color w:val="auto"/>
        </w:rPr>
      </w:pPr>
      <w:r>
        <w:rPr>
          <w:rFonts w:ascii="Arial" w:cs="Arial" w:eastAsia="Arial" w:hAnsi="Arial"/>
          <w:sz w:val="18"/>
          <w:szCs w:val="18"/>
          <w:color w:val="auto"/>
        </w:rPr>
        <w:t>$47.1 million at March 31, 2021 and $42.6 million at March 31, 2020 has been established relating to state and foreign net operating loss</w:t>
      </w:r>
    </w:p>
    <w:p>
      <w:pPr>
        <w:spacing w:after="0" w:line="235" w:lineRule="auto"/>
        <w:rPr>
          <w:sz w:val="20"/>
          <w:szCs w:val="20"/>
          <w:color w:val="auto"/>
        </w:rPr>
      </w:pPr>
      <w:r>
        <w:rPr>
          <w:rFonts w:ascii="Arial" w:cs="Arial" w:eastAsia="Arial" w:hAnsi="Arial"/>
          <w:sz w:val="18"/>
          <w:szCs w:val="18"/>
          <w:color w:val="auto"/>
        </w:rPr>
        <w:t>carryforwards, state R&amp;D tax credit carryforwards, and foreign tax credit carryforwards that, based on management’s estimate of future</w:t>
      </w:r>
    </w:p>
    <w:p>
      <w:pPr>
        <w:spacing w:after="0" w:line="235" w:lineRule="auto"/>
        <w:rPr>
          <w:sz w:val="20"/>
          <w:szCs w:val="20"/>
          <w:color w:val="auto"/>
        </w:rPr>
      </w:pPr>
      <w:r>
        <w:rPr>
          <w:rFonts w:ascii="Arial" w:cs="Arial" w:eastAsia="Arial" w:hAnsi="Arial"/>
          <w:sz w:val="18"/>
          <w:szCs w:val="18"/>
          <w:color w:val="auto"/>
        </w:rPr>
        <w:t>taxable income attributable to such jurisdictions and generation of additional research credits, are considered more likely than not to expire</w:t>
      </w:r>
    </w:p>
    <w:p>
      <w:pPr>
        <w:spacing w:after="0"/>
        <w:rPr>
          <w:sz w:val="20"/>
          <w:szCs w:val="20"/>
          <w:color w:val="auto"/>
        </w:rPr>
      </w:pPr>
      <w:r>
        <w:rPr>
          <w:rFonts w:ascii="Arial" w:cs="Arial" w:eastAsia="Arial" w:hAnsi="Arial"/>
          <w:sz w:val="18"/>
          <w:szCs w:val="18"/>
          <w:color w:val="auto"/>
        </w:rPr>
        <w:t>unused.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jc w:val="right"/>
              <w:ind w:right="30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69"/>
        </w:trPr>
        <w:tc>
          <w:tcPr>
            <w:tcW w:w="4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fiscal year</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80,591</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68,156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55,474</w:t>
            </w:r>
          </w:p>
        </w:tc>
        <w:tc>
          <w:tcPr>
            <w:tcW w:w="8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(949)</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current year tax positions</w:t>
            </w:r>
          </w:p>
        </w:tc>
        <w:tc>
          <w:tcPr>
            <w:tcW w:w="8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13,384</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13,865</w:t>
            </w:r>
          </w:p>
        </w:tc>
        <w:tc>
          <w:tcPr>
            <w:tcW w:w="80" w:type="dxa"/>
            <w:vAlign w:val="bottom"/>
            <w:shd w:val="clear" w:color="auto" w:fill="CFF0FC"/>
          </w:tcPr>
          <w:p>
            <w:pPr>
              <w:spacing w:after="0"/>
              <w:rPr>
                <w:sz w:val="18"/>
                <w:szCs w:val="18"/>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Balance, end of fiscal year</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92,962</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80,591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68,156</w:t>
            </w:r>
          </w:p>
        </w:tc>
        <w:tc>
          <w:tcPr>
            <w:tcW w:w="80" w:type="dxa"/>
            <w:vAlign w:val="bottom"/>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510"/>
        <w:spacing w:after="0" w:line="238" w:lineRule="auto"/>
        <w:rPr>
          <w:sz w:val="20"/>
          <w:szCs w:val="20"/>
          <w:color w:val="auto"/>
        </w:rPr>
      </w:pPr>
      <w:r>
        <w:rPr>
          <w:rFonts w:ascii="Arial" w:cs="Arial" w:eastAsia="Arial" w:hAnsi="Arial"/>
          <w:sz w:val="18"/>
          <w:szCs w:val="18"/>
          <w:color w:val="auto"/>
        </w:rPr>
        <w:t>Of the total unrecognized tax benefits at March 31, 2021, $84.0 million would reduce the Company’s annual effective tax rate if recognized, subject to valuation allowance consideration. The Company’s policy is to recognize interest expense and penalties related to income tax matters as a component of income tax expense. There were no accrued interest or penalties associated with uncertain tax positions as of March 31, 2021 and 2020.</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next 12 months it is reasonably possible that the amount of unrecognized tax benefits will not change significantly.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right="80" w:firstLine="510"/>
        <w:spacing w:after="0" w:line="237" w:lineRule="auto"/>
        <w:rPr>
          <w:sz w:val="20"/>
          <w:szCs w:val="20"/>
          <w:color w:val="auto"/>
        </w:rPr>
      </w:pPr>
      <w:r>
        <w:rPr>
          <w:rFonts w:ascii="Arial" w:cs="Arial" w:eastAsia="Arial" w:hAnsi="Arial"/>
          <w:sz w:val="18"/>
          <w:szCs w:val="18"/>
          <w:color w:val="auto"/>
        </w:rPr>
        <w:t>The Company is subject to periodic audits by domestic and foreign tax authorities. By statute, the Company’s U.S. federal and state income tax returns are subject to examination by the tax authorities for fiscal years 2018 and thereafter. Additionally, net operating loss and R&amp;D tax credit carryovers that were generated in prior years may also be subject to examination. With few exceptions, fiscal years 2017 and thereafter remain open to examination by foreign tax authorities. The Company believes that it has appropriate support for the income tax positions taken on its tax returns and its accruals for tax liabilities are adequate for all open years based on an assessment of many factors, including past experience and interpretations.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220"/>
        <w:spacing w:after="0" w:line="325" w:lineRule="auto"/>
        <w:rPr>
          <w:sz w:val="20"/>
          <w:szCs w:val="20"/>
          <w:color w:val="auto"/>
        </w:rPr>
      </w:pPr>
      <w:r>
        <w:rPr>
          <w:rFonts w:ascii="Arial" w:cs="Arial" w:eastAsia="Arial" w:hAnsi="Arial"/>
          <w:sz w:val="18"/>
          <w:szCs w:val="18"/>
          <w:b w:val="1"/>
          <w:bCs w:val="1"/>
          <w:color w:val="auto"/>
        </w:rPr>
        <w:t xml:space="preserve">Note 10 — Equity Method Investments and Related-Party Transactions </w:t>
      </w:r>
      <w:r>
        <w:rPr>
          <w:rFonts w:ascii="Arial" w:cs="Arial" w:eastAsia="Arial" w:hAnsi="Arial"/>
          <w:sz w:val="18"/>
          <w:szCs w:val="18"/>
          <w:b w:val="1"/>
          <w:bCs w:val="1"/>
          <w:i w:val="1"/>
          <w:iCs w:val="1"/>
          <w:color w:val="auto"/>
        </w:rPr>
        <w:t>Euro Broadband Infrastructure Sàrl</w:t>
      </w:r>
    </w:p>
    <w:p>
      <w:pPr>
        <w:spacing w:after="0" w:line="1" w:lineRule="exact"/>
        <w:rPr>
          <w:sz w:val="20"/>
          <w:szCs w:val="20"/>
          <w:color w:val="auto"/>
        </w:rPr>
      </w:pPr>
    </w:p>
    <w:p>
      <w:pPr>
        <w:ind w:firstLine="510"/>
        <w:spacing w:after="0" w:line="234"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a foreign currency translation gain, net of tax, of approximately $12.2 million, a loss, net of tax, of approximately $3.8 million, and a loss, net of tax, of approximately $5.6 million for the fiscal years ended March 31, 2021, 2020 and 2019, respectively, in accumulated other comprehensive income (loss). The Company records its proportionate share of the results of Euro Infrastructure Co., and any related basis difference amortization expense, within equity in income of unconsolidated affiliate, net, one quarter in arrears. Accordingly, the Company included its share of the results of Euro Infrastructure Co. for the twelve months ended December 31, 2020, 2019 and 2018 in its consolidated financial statements for the fiscal years ended</w:t>
      </w:r>
    </w:p>
    <w:p>
      <w:pPr>
        <w:spacing w:after="0" w:line="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March 31, 2021, 2020 and 2019,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 On April 30, 2021, the Company purchased the remaining 51% interest in Euro Infrastructure Co. from Eutelsat (see Note 16 — Subsequent Events for more information).</w:t>
      </w:r>
    </w:p>
    <w:p>
      <w:pPr>
        <w:spacing w:after="0" w:line="151" w:lineRule="exact"/>
        <w:rPr>
          <w:sz w:val="20"/>
          <w:szCs w:val="20"/>
          <w:color w:val="auto"/>
        </w:rPr>
      </w:pPr>
    </w:p>
    <w:p>
      <w:pPr>
        <w:ind w:right="20" w:firstLine="510"/>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March 31, 2021 and 2020 is summarized as follows:</w:t>
      </w:r>
    </w:p>
    <w:p>
      <w:pPr>
        <w:spacing w:after="0" w:line="18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13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March 31, 2021</w:t>
            </w: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Carrying value of investment in Euro Infrastructure Co.</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176,938</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Less: proportionate share of net assets of Euro</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CFF0FC"/>
            </w:tcBorders>
          </w:tcPr>
          <w:p>
            <w:pPr>
              <w:ind w:left="140"/>
              <w:spacing w:after="0" w:line="203" w:lineRule="exact"/>
              <w:rPr>
                <w:sz w:val="20"/>
                <w:szCs w:val="20"/>
                <w:color w:val="auto"/>
              </w:rPr>
            </w:pPr>
            <w:r>
              <w:rPr>
                <w:rFonts w:ascii="Arial" w:cs="Arial" w:eastAsia="Arial" w:hAnsi="Arial"/>
                <w:sz w:val="18"/>
                <w:szCs w:val="18"/>
                <w:color w:val="auto"/>
              </w:rPr>
              <w:t>Infrastructure Co.</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159,394</w:t>
            </w:r>
          </w:p>
        </w:tc>
        <w:tc>
          <w:tcPr>
            <w:tcW w:w="20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144,769</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Excess carrying value of investment over</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Borders>
              <w:bottom w:val="single" w:sz="8" w:color="CFF0FC"/>
            </w:tcBorders>
            <w:shd w:val="clear" w:color="auto" w:fill="CFF0FC"/>
          </w:tcPr>
          <w:p>
            <w:pPr>
              <w:ind w:left="400"/>
              <w:spacing w:after="0" w:line="203" w:lineRule="exact"/>
              <w:rPr>
                <w:sz w:val="20"/>
                <w:szCs w:val="20"/>
                <w:color w:val="auto"/>
              </w:rPr>
            </w:pPr>
            <w:r>
              <w:rPr>
                <w:rFonts w:ascii="Arial" w:cs="Arial" w:eastAsia="Arial" w:hAnsi="Arial"/>
                <w:sz w:val="18"/>
                <w:szCs w:val="18"/>
                <w:color w:val="auto"/>
              </w:rPr>
              <w:t>proportionate share of net assets</w:t>
            </w:r>
          </w:p>
        </w:tc>
        <w:tc>
          <w:tcPr>
            <w:tcW w:w="260" w:type="dxa"/>
            <w:vAlign w:val="bottom"/>
            <w:tcBorders>
              <w:bottom w:val="single" w:sz="8" w:color="auto"/>
            </w:tcBorders>
            <w:shd w:val="clear" w:color="auto" w:fill="CFF0FC"/>
          </w:tcPr>
          <w:p>
            <w:pPr>
              <w:jc w:val="right"/>
              <w:ind w:right="74"/>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17,544</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14"/>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15,435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The excess carrying value has been primarily assigned</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line="203" w:lineRule="exact"/>
              <w:rPr>
                <w:sz w:val="20"/>
                <w:szCs w:val="20"/>
                <w:color w:val="auto"/>
              </w:rPr>
            </w:pPr>
            <w:r>
              <w:rPr>
                <w:rFonts w:ascii="Arial" w:cs="Arial" w:eastAsia="Arial" w:hAnsi="Arial"/>
                <w:sz w:val="18"/>
                <w:szCs w:val="18"/>
                <w:color w:val="auto"/>
              </w:rPr>
              <w:t>to:</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23,978</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40"/>
              <w:spacing w:after="0"/>
              <w:rPr>
                <w:sz w:val="20"/>
                <w:szCs w:val="20"/>
                <w:color w:val="auto"/>
              </w:rPr>
            </w:pPr>
            <w:r>
              <w:rPr>
                <w:rFonts w:ascii="Arial" w:cs="Arial" w:eastAsia="Arial" w:hAnsi="Arial"/>
                <w:sz w:val="18"/>
                <w:szCs w:val="18"/>
                <w:color w:val="auto"/>
              </w:rPr>
              <w:t>Identifiable intangible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Tangible assets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(15,781)</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(16,142)</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17,544</w:t>
            </w: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firstLine="510"/>
        <w:spacing w:after="0"/>
        <w:rPr>
          <w:sz w:val="20"/>
          <w:szCs w:val="20"/>
          <w:color w:val="auto"/>
        </w:rPr>
      </w:pPr>
      <w:r>
        <w:rPr>
          <w:rFonts w:ascii="Arial" w:cs="Arial" w:eastAsia="Arial" w:hAnsi="Arial"/>
          <w:sz w:val="18"/>
          <w:szCs w:val="18"/>
          <w:color w:val="auto"/>
        </w:rPr>
        <w:t>The Company’s share of income on its investment in Euro Infrastructure Co. was an insignificant amount, $4.5 million, and $3.0 million for the fiscal years ended March 31, 2021, 2020 and 2019, respectively, consisting of the Company’s share of equity in Euro Infrastructure Co.’s income, including amortization of the difference in the historical basis of the Company’s contribution.</w:t>
      </w:r>
    </w:p>
    <w:p>
      <w:pPr>
        <w:spacing w:after="0" w:line="149" w:lineRule="exact"/>
        <w:rPr>
          <w:sz w:val="20"/>
          <w:szCs w:val="20"/>
          <w:color w:val="auto"/>
        </w:rPr>
      </w:pPr>
    </w:p>
    <w:p>
      <w:pPr>
        <w:ind w:right="900" w:firstLine="510"/>
        <w:spacing w:after="0" w:line="246" w:lineRule="auto"/>
        <w:rPr>
          <w:sz w:val="20"/>
          <w:szCs w:val="20"/>
          <w:color w:val="auto"/>
        </w:rPr>
      </w:pPr>
      <w:r>
        <w:rPr>
          <w:rFonts w:ascii="Arial" w:cs="Arial" w:eastAsia="Arial" w:hAnsi="Arial"/>
          <w:sz w:val="18"/>
          <w:szCs w:val="18"/>
          <w:color w:val="auto"/>
        </w:rPr>
        <w:t>Since acquiring its initial interest in Euro Infrastructure Co., the Company has recorded $10.8 million in retained earnings of undistributed cumulative earnings in equity interests, net of tax, as of March 31, 2021.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85" w:lineRule="exact"/>
        <w:rPr>
          <w:sz w:val="20"/>
          <w:szCs w:val="20"/>
          <w:color w:val="auto"/>
        </w:rPr>
      </w:pPr>
    </w:p>
    <w:p>
      <w:pPr>
        <w:jc w:val="both"/>
        <w:ind w:right="380" w:firstLine="510"/>
        <w:spacing w:after="0"/>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156"/>
              <w:spacing w:after="0" w:line="156"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3"/>
                <w:szCs w:val="13"/>
                <w:color w:val="auto"/>
              </w:rPr>
            </w:pPr>
          </w:p>
        </w:tc>
        <w:tc>
          <w:tcPr>
            <w:tcW w:w="1080" w:type="dxa"/>
            <w:vAlign w:val="bottom"/>
          </w:tcPr>
          <w:p>
            <w:pPr>
              <w:jc w:val="center"/>
              <w:ind w:right="216"/>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169"/>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9,993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8,365</w:t>
            </w:r>
          </w:p>
        </w:tc>
        <w:tc>
          <w:tcPr>
            <w:tcW w:w="8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Expense – Euro Infrastructure Co.</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16,341</w:t>
            </w:r>
          </w:p>
        </w:tc>
        <w:tc>
          <w:tcPr>
            <w:tcW w:w="32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18,854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14,302</w:t>
            </w:r>
          </w:p>
        </w:tc>
        <w:tc>
          <w:tcPr>
            <w:tcW w:w="8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10,800</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12,848</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80" w:type="dxa"/>
            <w:vAlign w:val="bottom"/>
            <w:shd w:val="clear" w:color="auto" w:fill="CFF0FC"/>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Cash paid – Euro Infrastructure Co.</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27,079</w:t>
            </w:r>
          </w:p>
        </w:tc>
        <w:tc>
          <w:tcPr>
            <w:tcW w:w="320" w:type="dxa"/>
            <w:vAlign w:val="bottom"/>
          </w:tcPr>
          <w:p>
            <w:pPr>
              <w:spacing w:after="0"/>
              <w:rPr>
                <w:sz w:val="19"/>
                <w:szCs w:val="19"/>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13,463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15,191</w:t>
            </w:r>
          </w:p>
        </w:tc>
        <w:tc>
          <w:tcPr>
            <w:tcW w:w="80" w:type="dxa"/>
            <w:vAlign w:val="bottom"/>
          </w:tcPr>
          <w:p>
            <w:pPr>
              <w:spacing w:after="0"/>
              <w:rPr>
                <w:sz w:val="19"/>
                <w:szCs w:val="19"/>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99"/>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w:t>
            </w:r>
          </w:p>
        </w:tc>
      </w:tr>
      <w:tr>
        <w:trPr>
          <w:trHeight w:val="175"/>
        </w:trPr>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 2021</w:t>
            </w:r>
          </w:p>
        </w:tc>
        <w:tc>
          <w:tcPr>
            <w:tcW w:w="12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5"/>
                <w:szCs w:val="15"/>
                <w:color w:val="auto"/>
              </w:rPr>
            </w:pPr>
          </w:p>
        </w:tc>
      </w:tr>
      <w:tr>
        <w:trPr>
          <w:trHeight w:val="169"/>
        </w:trPr>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ind w:left="460"/>
              <w:spacing w:after="0"/>
              <w:rPr>
                <w:sz w:val="20"/>
                <w:szCs w:val="20"/>
                <w:color w:val="auto"/>
              </w:rPr>
            </w:pPr>
            <w:r>
              <w:rPr>
                <w:rFonts w:ascii="Arial" w:cs="Arial" w:eastAsia="Arial" w:hAnsi="Arial"/>
                <w:sz w:val="14"/>
                <w:szCs w:val="14"/>
                <w:b w:val="1"/>
                <w:bCs w:val="1"/>
                <w:color w:val="auto"/>
              </w:rPr>
              <w:t>(In thousands)</w:t>
            </w:r>
          </w:p>
        </w:tc>
      </w:tr>
      <w:tr>
        <w:trPr>
          <w:trHeight w:val="215"/>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Collections in excess of revenues and deferred</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3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revenues – Euro Infrastructure Co.</w:t>
            </w:r>
          </w:p>
        </w:tc>
        <w:tc>
          <w:tcPr>
            <w:tcW w:w="240" w:type="dxa"/>
            <w:vAlign w:val="bottom"/>
            <w:shd w:val="clear" w:color="auto" w:fill="CFF0FC"/>
          </w:tcPr>
          <w:p>
            <w:pPr>
              <w:jc w:val="right"/>
              <w:ind w:right="59"/>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19"/>
              <w:spacing w:after="0" w:line="203" w:lineRule="exact"/>
              <w:rPr>
                <w:sz w:val="20"/>
                <w:szCs w:val="20"/>
                <w:color w:val="auto"/>
              </w:rPr>
            </w:pPr>
            <w:r>
              <w:rPr>
                <w:rFonts w:ascii="Arial" w:cs="Arial" w:eastAsia="Arial" w:hAnsi="Arial"/>
                <w:sz w:val="18"/>
                <w:szCs w:val="18"/>
                <w:color w:val="auto"/>
              </w:rPr>
              <w:t>6,013</w:t>
            </w:r>
          </w:p>
        </w:tc>
        <w:tc>
          <w:tcPr>
            <w:tcW w:w="340" w:type="dxa"/>
            <w:vAlign w:val="bottom"/>
            <w:shd w:val="clear" w:color="auto" w:fill="CFF0FC"/>
          </w:tcPr>
          <w:p>
            <w:pPr>
              <w:jc w:val="right"/>
              <w:ind w:right="59"/>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5,832</w:t>
            </w:r>
          </w:p>
        </w:tc>
        <w:tc>
          <w:tcPr>
            <w:tcW w:w="80" w:type="dxa"/>
            <w:vAlign w:val="bottom"/>
            <w:shd w:val="clear" w:color="auto" w:fill="CFF0FC"/>
          </w:tcPr>
          <w:p>
            <w:pPr>
              <w:spacing w:after="0"/>
              <w:rPr>
                <w:sz w:val="17"/>
                <w:szCs w:val="17"/>
                <w:color w:val="auto"/>
              </w:rPr>
            </w:pPr>
          </w:p>
        </w:tc>
      </w:tr>
      <w:tr>
        <w:trPr>
          <w:trHeight w:val="230"/>
        </w:trPr>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980" w:type="dxa"/>
            <w:vAlign w:val="bottom"/>
            <w:gridSpan w:val="2"/>
          </w:tcPr>
          <w:p>
            <w:pPr>
              <w:ind w:left="620"/>
              <w:spacing w:after="0"/>
              <w:rPr>
                <w:sz w:val="20"/>
                <w:szCs w:val="20"/>
                <w:color w:val="auto"/>
              </w:rPr>
            </w:pPr>
            <w:r>
              <w:rPr>
                <w:rFonts w:ascii="Arial" w:cs="Arial" w:eastAsia="Arial" w:hAnsi="Arial"/>
                <w:sz w:val="18"/>
                <w:szCs w:val="18"/>
                <w:color w:val="auto"/>
              </w:rPr>
              <w:t>Accounts payable - Euro Infrastructure Co.</w:t>
            </w: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5,446</w:t>
            </w:r>
          </w:p>
        </w:tc>
        <w:tc>
          <w:tcPr>
            <w:tcW w:w="80" w:type="dxa"/>
            <w:vAlign w:val="bottom"/>
          </w:tcPr>
          <w:p>
            <w:pPr>
              <w:spacing w:after="0"/>
              <w:rPr>
                <w:sz w:val="19"/>
                <w:szCs w:val="19"/>
                <w:color w:val="auto"/>
              </w:rPr>
            </w:pPr>
          </w:p>
        </w:tc>
      </w:tr>
      <w:tr>
        <w:trPr>
          <w:trHeight w:val="122"/>
        </w:trPr>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98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63"/>
        </w:trPr>
        <w:tc>
          <w:tcPr>
            <w:tcW w:w="300" w:type="dxa"/>
            <w:vAlign w:val="bottom"/>
          </w:tcPr>
          <w:p>
            <w:pPr>
              <w:jc w:val="right"/>
              <w:ind w:right="130"/>
              <w:spacing w:after="0"/>
              <w:rPr>
                <w:sz w:val="20"/>
                <w:szCs w:val="20"/>
                <w:color w:val="auto"/>
              </w:rPr>
            </w:pPr>
            <w:r>
              <w:rPr>
                <w:rFonts w:ascii="Arial" w:cs="Arial" w:eastAsia="Arial" w:hAnsi="Arial"/>
                <w:sz w:val="18"/>
                <w:szCs w:val="18"/>
                <w:color w:val="auto"/>
                <w:w w:val="84"/>
              </w:rPr>
              <w:t>*</w:t>
            </w:r>
          </w:p>
        </w:tc>
        <w:tc>
          <w:tcPr>
            <w:tcW w:w="6760" w:type="dxa"/>
            <w:vAlign w:val="bottom"/>
            <w:gridSpan w:val="3"/>
          </w:tcPr>
          <w:p>
            <w:pPr>
              <w:ind w:left="200"/>
              <w:spacing w:after="0"/>
              <w:rPr>
                <w:sz w:val="20"/>
                <w:szCs w:val="20"/>
                <w:color w:val="auto"/>
              </w:rPr>
            </w:pPr>
            <w:r>
              <w:rPr>
                <w:rFonts w:ascii="Arial" w:cs="Arial" w:eastAsia="Arial" w:hAnsi="Arial"/>
                <w:sz w:val="18"/>
                <w:szCs w:val="18"/>
                <w:color w:val="auto"/>
              </w:rPr>
              <w:t>Amount was insignificant.</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Benefits</w:t>
      </w:r>
    </w:p>
    <w:p>
      <w:pPr>
        <w:spacing w:after="0" w:line="85"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The Company is a sponsor of a voluntary deferred compensation plan under Section 401(k) of the Internal Revenue Code. Under the plan, the Company may make discretionary contributions to the plan which vest over three years. The Company’s discretionary matching contributions to the plan are based on the amount of employee contributions and can be made in cash or the Company’s common stock at the Company’s election. Subsequent to the 2021 fiscal year end, the Company elected to settle the discretionary contributions liability in shares of the Company’s common stock, consistent with fiscal year 2020. Based on the closing price of the Company’s common stock at the 2021 fiscal year end, the Company would issue approximately 509,673 shares of common stock at this time. Discretionary contributions accrued by the Company as of March 31, 2021 and 2020 amounted to $24.5 million and $25.4 million, respectively.</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January 2008, the Company entered into several agreements with Space Systems/Loral, Inc. (SS/L), its former parent company</w:t>
      </w:r>
    </w:p>
    <w:p>
      <w:pPr>
        <w:spacing w:after="0" w:line="234" w:lineRule="auto"/>
        <w:rPr>
          <w:sz w:val="20"/>
          <w:szCs w:val="20"/>
          <w:color w:val="auto"/>
        </w:rPr>
      </w:pPr>
      <w:r>
        <w:rPr>
          <w:rFonts w:ascii="Arial" w:cs="Arial" w:eastAsia="Arial" w:hAnsi="Arial"/>
          <w:sz w:val="18"/>
          <w:szCs w:val="18"/>
          <w:color w:val="auto"/>
        </w:rPr>
        <w:t>Loral Space &amp; Communications, Inc. (Loral) and Telesat Canada related to the Company’s ViaSat-1 satellite, which was placed into service</w:t>
      </w:r>
    </w:p>
    <w:p>
      <w:pPr>
        <w:spacing w:after="0" w:line="235" w:lineRule="auto"/>
        <w:rPr>
          <w:sz w:val="20"/>
          <w:szCs w:val="20"/>
          <w:color w:val="auto"/>
        </w:rPr>
      </w:pPr>
      <w:r>
        <w:rPr>
          <w:rFonts w:ascii="Arial" w:cs="Arial" w:eastAsia="Arial" w:hAnsi="Arial"/>
          <w:sz w:val="18"/>
          <w:szCs w:val="18"/>
          <w:color w:val="auto"/>
        </w:rPr>
        <w:t>in January 2012. In May 2013, the Company entered into an agreement to purchase the ViaSat-2 satellite from The Boeing Company</w:t>
      </w:r>
    </w:p>
    <w:p>
      <w:pPr>
        <w:spacing w:after="0" w:line="235" w:lineRule="auto"/>
        <w:rPr>
          <w:sz w:val="20"/>
          <w:szCs w:val="20"/>
          <w:color w:val="auto"/>
        </w:rPr>
      </w:pPr>
      <w:r>
        <w:rPr>
          <w:rFonts w:ascii="Arial" w:cs="Arial" w:eastAsia="Arial" w:hAnsi="Arial"/>
          <w:sz w:val="18"/>
          <w:szCs w:val="18"/>
          <w:color w:val="auto"/>
        </w:rPr>
        <w:t>(Boeing), which satellite was placed into service during the fourth quarter of fiscal year 2018. The Company’s contracts with SS/L and Boeing</w:t>
      </w:r>
    </w:p>
    <w:p>
      <w:pPr>
        <w:spacing w:after="0" w:line="235" w:lineRule="auto"/>
        <w:rPr>
          <w:sz w:val="20"/>
          <w:szCs w:val="20"/>
          <w:color w:val="auto"/>
        </w:rPr>
      </w:pPr>
      <w:r>
        <w:rPr>
          <w:rFonts w:ascii="Arial" w:cs="Arial" w:eastAsia="Arial" w:hAnsi="Arial"/>
          <w:sz w:val="18"/>
          <w:szCs w:val="18"/>
          <w:color w:val="auto"/>
        </w:rPr>
        <w:t>require the Company to make monthly in-orbit satellite performance incentive payments, including interest through fiscal year 2027 and fiscal</w:t>
      </w:r>
    </w:p>
    <w:p>
      <w:pPr>
        <w:spacing w:after="0" w:line="235" w:lineRule="auto"/>
        <w:rPr>
          <w:sz w:val="20"/>
          <w:szCs w:val="20"/>
          <w:color w:val="auto"/>
        </w:rPr>
      </w:pPr>
      <w:r>
        <w:rPr>
          <w:rFonts w:ascii="Arial" w:cs="Arial" w:eastAsia="Arial" w:hAnsi="Arial"/>
          <w:sz w:val="18"/>
          <w:szCs w:val="18"/>
          <w:color w:val="auto"/>
        </w:rPr>
        <w:t>year 2028, respectively, subject to the continued satisfactory performance of the applicable satellites. The Company records the net present</w:t>
      </w:r>
    </w:p>
    <w:p>
      <w:pPr>
        <w:spacing w:after="0" w:line="234" w:lineRule="auto"/>
        <w:rPr>
          <w:sz w:val="20"/>
          <w:szCs w:val="20"/>
          <w:color w:val="auto"/>
        </w:rPr>
      </w:pPr>
      <w:r>
        <w:rPr>
          <w:rFonts w:ascii="Arial" w:cs="Arial" w:eastAsia="Arial" w:hAnsi="Arial"/>
          <w:sz w:val="18"/>
          <w:szCs w:val="18"/>
          <w:color w:val="auto"/>
        </w:rPr>
        <w:t>value of these expected future payments as a liability and as a component of the cost of the satellites. As of March 31, 2021, the Company’s</w:t>
      </w:r>
    </w:p>
    <w:p>
      <w:pPr>
        <w:spacing w:after="0" w:line="235" w:lineRule="auto"/>
        <w:rPr>
          <w:sz w:val="20"/>
          <w:szCs w:val="20"/>
          <w:color w:val="auto"/>
        </w:rPr>
      </w:pPr>
      <w:r>
        <w:rPr>
          <w:rFonts w:ascii="Arial" w:cs="Arial" w:eastAsia="Arial" w:hAnsi="Arial"/>
          <w:sz w:val="18"/>
          <w:szCs w:val="18"/>
          <w:color w:val="auto"/>
        </w:rPr>
        <w:t>estimated satellite performance incentive obligations and accrued interest for the ViaSat-1 and ViaSat-2 satellites were approximately</w:t>
      </w:r>
    </w:p>
    <w:p>
      <w:pPr>
        <w:spacing w:after="0" w:line="235" w:lineRule="auto"/>
        <w:rPr>
          <w:sz w:val="20"/>
          <w:szCs w:val="20"/>
          <w:color w:val="auto"/>
        </w:rPr>
      </w:pPr>
      <w:r>
        <w:rPr>
          <w:rFonts w:ascii="Arial" w:cs="Arial" w:eastAsia="Arial" w:hAnsi="Arial"/>
          <w:sz w:val="18"/>
          <w:szCs w:val="18"/>
          <w:color w:val="auto"/>
        </w:rPr>
        <w:t>$27.1 million, of which $4.9 million and $22.2 million have been classified as current in accrued liabilities and non-current in other liabilities,</w:t>
      </w:r>
    </w:p>
    <w:p>
      <w:pPr>
        <w:spacing w:after="0" w:line="235" w:lineRule="auto"/>
        <w:rPr>
          <w:sz w:val="20"/>
          <w:szCs w:val="20"/>
          <w:color w:val="auto"/>
        </w:rPr>
      </w:pPr>
      <w:r>
        <w:rPr>
          <w:rFonts w:ascii="Arial" w:cs="Arial" w:eastAsia="Arial" w:hAnsi="Arial"/>
          <w:sz w:val="18"/>
          <w:szCs w:val="18"/>
          <w:color w:val="auto"/>
        </w:rPr>
        <w:t>respectively. Under the satellite construction contracts with SS/L and Boeing, the Company may incur up to $32.5 million in total costs for</w:t>
      </w:r>
    </w:p>
    <w:p>
      <w:pPr>
        <w:spacing w:after="0" w:line="235" w:lineRule="auto"/>
        <w:rPr>
          <w:sz w:val="20"/>
          <w:szCs w:val="20"/>
          <w:color w:val="auto"/>
        </w:rPr>
      </w:pPr>
      <w:r>
        <w:rPr>
          <w:rFonts w:ascii="Arial" w:cs="Arial" w:eastAsia="Arial" w:hAnsi="Arial"/>
          <w:sz w:val="18"/>
          <w:szCs w:val="18"/>
          <w:color w:val="auto"/>
        </w:rPr>
        <w:t>satellite performance incentive obligations and related interest earned with potential future minimum payments of $5.3 million, $5.0 million,</w:t>
      </w:r>
    </w:p>
    <w:p>
      <w:pPr>
        <w:spacing w:after="0" w:line="234" w:lineRule="auto"/>
        <w:rPr>
          <w:sz w:val="20"/>
          <w:szCs w:val="20"/>
          <w:color w:val="auto"/>
        </w:rPr>
      </w:pPr>
      <w:r>
        <w:rPr>
          <w:rFonts w:ascii="Arial" w:cs="Arial" w:eastAsia="Arial" w:hAnsi="Arial"/>
          <w:sz w:val="18"/>
          <w:szCs w:val="18"/>
          <w:color w:val="auto"/>
        </w:rPr>
        <w:t>$5.3 million, $5.5 million and $5.8 million in fiscal years 2022, 2023, 2024, 2025 and 2026, respectively, with $5.6 million in commitments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198" w:lineRule="exact"/>
        <w:rPr>
          <w:sz w:val="20"/>
          <w:szCs w:val="20"/>
          <w:color w:val="auto"/>
        </w:rPr>
      </w:pPr>
    </w:p>
    <w:p>
      <w:pPr>
        <w:ind w:right="20" w:firstLine="510"/>
        <w:spacing w:after="0" w:line="238" w:lineRule="auto"/>
        <w:rPr>
          <w:sz w:val="20"/>
          <w:szCs w:val="20"/>
          <w:color w:val="auto"/>
        </w:rPr>
      </w:pPr>
      <w:r>
        <w:rPr>
          <w:rFonts w:ascii="Arial" w:cs="Arial" w:eastAsia="Arial" w:hAnsi="Arial"/>
          <w:sz w:val="18"/>
          <w:szCs w:val="18"/>
          <w:color w:val="auto"/>
        </w:rPr>
        <w:t>The Company has entered into satellite construction agreements with Boeing for the construction and purchase of three ViaSat-3 class satellites and the integration of Viasat’s payload and technologies into the satellites. The Company also enters into various other satellite-related purchase commitments, including with respect to the provision of launch services, operation of its satellites and satellite insurance. As of March 31, 2021, future minimum payments under the Company’s satellite construction contracts and other satellite-related purchase commitments for the next five fiscal years and thereafter were as follows:</w:t>
      </w:r>
    </w:p>
    <w:p>
      <w:pPr>
        <w:spacing w:after="0" w:line="190"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w:t>
            </w:r>
          </w:p>
        </w:tc>
        <w:tc>
          <w:tcPr>
            <w:tcW w:w="208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09"/>
        </w:trPr>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06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360,547</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2023</w:t>
            </w:r>
          </w:p>
        </w:tc>
        <w:tc>
          <w:tcPr>
            <w:tcW w:w="2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203,008</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20,361</w:t>
            </w:r>
          </w:p>
        </w:tc>
        <w:tc>
          <w:tcPr>
            <w:tcW w:w="6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2025</w:t>
            </w:r>
          </w:p>
        </w:tc>
        <w:tc>
          <w:tcPr>
            <w:tcW w:w="2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2,271</w:t>
            </w:r>
          </w:p>
        </w:tc>
        <w:tc>
          <w:tcPr>
            <w:tcW w:w="6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6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60" w:type="dxa"/>
            <w:vAlign w:val="bottom"/>
            <w:shd w:val="clear" w:color="auto" w:fill="CFF0FC"/>
          </w:tcPr>
          <w:p>
            <w:pPr>
              <w:spacing w:after="0"/>
              <w:rPr>
                <w:sz w:val="18"/>
                <w:szCs w:val="18"/>
                <w:color w:val="auto"/>
              </w:rPr>
            </w:pPr>
          </w:p>
        </w:tc>
      </w:tr>
      <w:tr>
        <w:trPr>
          <w:trHeight w:val="216"/>
        </w:trPr>
        <w:tc>
          <w:tcPr>
            <w:tcW w:w="3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20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9,791</w:t>
            </w:r>
          </w:p>
        </w:tc>
        <w:tc>
          <w:tcPr>
            <w:tcW w:w="60" w:type="dxa"/>
            <w:vAlign w:val="bottom"/>
            <w:tcBorders>
              <w:bottom w:val="single" w:sz="8" w:color="CFF0FC"/>
            </w:tcBorders>
          </w:tcPr>
          <w:p>
            <w:pPr>
              <w:spacing w:after="0"/>
              <w:rPr>
                <w:sz w:val="18"/>
                <w:szCs w:val="18"/>
                <w:color w:val="auto"/>
              </w:rPr>
            </w:pPr>
          </w:p>
        </w:tc>
      </w:tr>
      <w:tr>
        <w:trPr>
          <w:trHeight w:val="209"/>
        </w:trPr>
        <w:tc>
          <w:tcPr>
            <w:tcW w:w="136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598,269</w:t>
            </w:r>
          </w:p>
        </w:tc>
        <w:tc>
          <w:tcPr>
            <w:tcW w:w="60" w:type="dxa"/>
            <w:vAlign w:val="bottom"/>
            <w:shd w:val="clear" w:color="auto" w:fill="CFF0FC"/>
          </w:tcPr>
          <w:p>
            <w:pPr>
              <w:spacing w:after="0"/>
              <w:rPr>
                <w:sz w:val="18"/>
                <w:szCs w:val="18"/>
                <w:color w:val="auto"/>
              </w:rPr>
            </w:pPr>
          </w:p>
        </w:tc>
      </w:tr>
      <w:tr>
        <w:trPr>
          <w:trHeight w:val="20"/>
        </w:trPr>
        <w:tc>
          <w:tcPr>
            <w:tcW w:w="1360" w:type="dxa"/>
            <w:vAlign w:val="bottom"/>
            <w:tcBorders>
              <w:top w:val="single" w:sz="8" w:color="CFF0FC"/>
            </w:tcBorders>
          </w:tcPr>
          <w:p>
            <w:pPr>
              <w:spacing w:after="0" w:line="20" w:lineRule="exact"/>
              <w:rPr>
                <w:sz w:val="1"/>
                <w:szCs w:val="1"/>
                <w:color w:val="auto"/>
              </w:rPr>
            </w:pPr>
          </w:p>
        </w:tc>
        <w:tc>
          <w:tcPr>
            <w:tcW w:w="2060" w:type="dxa"/>
            <w:vAlign w:val="bottom"/>
            <w:tcBorders>
              <w:top w:val="single" w:sz="8" w:color="CFF0FC"/>
            </w:tcBorders>
          </w:tcPr>
          <w:p>
            <w:pPr>
              <w:spacing w:after="0" w:line="20" w:lineRule="exact"/>
              <w:rPr>
                <w:sz w:val="1"/>
                <w:szCs w:val="1"/>
                <w:color w:val="auto"/>
              </w:rPr>
            </w:pPr>
          </w:p>
        </w:tc>
        <w:tc>
          <w:tcPr>
            <w:tcW w:w="20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300" w:firstLine="510"/>
        <w:spacing w:after="0"/>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$57.2 million, $46.6 million, $16.8 million, $5.9 million and $9.7 million in fiscal years 2022, 2023, 2024, 2025 and 2026, respectively, and $65.4 million of further minimum payments thereafter.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Contingencies</w:t>
      </w:r>
    </w:p>
    <w:p>
      <w:pPr>
        <w:spacing w:after="0" w:line="85" w:lineRule="exact"/>
        <w:rPr>
          <w:sz w:val="20"/>
          <w:szCs w:val="20"/>
          <w:color w:val="auto"/>
        </w:rPr>
      </w:pPr>
    </w:p>
    <w:p>
      <w:pPr>
        <w:ind w:firstLine="510"/>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74" w:lineRule="exact"/>
        <w:rPr>
          <w:sz w:val="20"/>
          <w:szCs w:val="20"/>
          <w:color w:val="auto"/>
        </w:rPr>
      </w:pPr>
    </w:p>
    <w:p>
      <w:pPr>
        <w:ind w:firstLine="510"/>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years 2019 or 2020. As of March 31, 2021,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2021 and 2020, the Company had $10.3 million and $7.8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Product Warranty</w:t>
      </w:r>
    </w:p>
    <w:p>
      <w:pPr>
        <w:spacing w:after="0" w:line="85" w:lineRule="exact"/>
        <w:rPr>
          <w:sz w:val="20"/>
          <w:szCs w:val="20"/>
          <w:color w:val="auto"/>
        </w:rPr>
      </w:pPr>
    </w:p>
    <w:p>
      <w:pPr>
        <w:ind w:right="20" w:firstLine="510"/>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2021, 2020 and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5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ind w:left="260"/>
              <w:spacing w:after="0"/>
              <w:rPr>
                <w:sz w:val="20"/>
                <w:szCs w:val="20"/>
                <w:color w:val="auto"/>
              </w:rPr>
            </w:pPr>
            <w:r>
              <w:rPr>
                <w:rFonts w:ascii="Arial" w:cs="Arial" w:eastAsia="Arial" w:hAnsi="Arial"/>
                <w:sz w:val="18"/>
                <w:szCs w:val="18"/>
                <w:color w:val="auto"/>
              </w:rPr>
              <w:t>Change in liability for warranties issued in period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Settlements made (in cash or in kind) during the period</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(5,085)</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(5,048)</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(4,410)</w:t>
            </w:r>
          </w:p>
        </w:tc>
      </w:tr>
      <w:tr>
        <w:trPr>
          <w:trHeight w:val="20"/>
        </w:trPr>
        <w:tc>
          <w:tcPr>
            <w:tcW w:w="5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Balance, end of period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11,886</w:t>
            </w: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11,643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99" w:lineRule="exact"/>
        <w:rPr>
          <w:sz w:val="20"/>
          <w:szCs w:val="20"/>
          <w:color w:val="auto"/>
        </w:rPr>
      </w:pPr>
    </w:p>
    <w:p>
      <w:pPr>
        <w:ind w:right="40" w:firstLine="510"/>
        <w:spacing w:after="0" w:line="237"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Community Internet hotspot users, enterprises, commercial airlines and other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7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fiscal years ended March 31, 2021, 2020 and 2019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868,943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826,583</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684,205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868,943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826,583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289,959</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383,547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52,026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54,598</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320,856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344,557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428,404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775,620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882,582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709,144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290,688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255,516</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246,505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1,066,308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1,138,098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Elimination of intersegment revenues</w:t>
            </w:r>
          </w:p>
        </w:tc>
        <w:tc>
          <w:tcPr>
            <w:tcW w:w="1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2,256,107</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2,309,238</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Operating profits (losses):</w:t>
            </w:r>
          </w:p>
        </w:tc>
        <w:tc>
          <w:tcPr>
            <w:tcW w:w="1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Satellite services</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35,853</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(64,321)</w:t>
            </w:r>
          </w:p>
        </w:tc>
        <w:tc>
          <w:tcPr>
            <w:tcW w:w="0" w:type="dxa"/>
            <w:vAlign w:val="bottom"/>
          </w:tcPr>
          <w:p>
            <w:pPr>
              <w:spacing w:after="0"/>
              <w:rPr>
                <w:sz w:val="1"/>
                <w:szCs w:val="1"/>
                <w:color w:val="auto"/>
              </w:rPr>
            </w:pPr>
          </w:p>
        </w:tc>
      </w:tr>
      <w:tr>
        <w:trPr>
          <w:trHeight w:val="216"/>
        </w:trPr>
        <w:tc>
          <w:tcPr>
            <w:tcW w:w="482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(180,749)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(186,877)</w:t>
            </w:r>
          </w:p>
        </w:tc>
        <w:tc>
          <w:tcPr>
            <w:tcW w:w="1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(166,613)</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systems</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208,611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225,894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60"/>
              <w:spacing w:after="0"/>
              <w:rPr>
                <w:sz w:val="20"/>
                <w:szCs w:val="20"/>
                <w:color w:val="auto"/>
              </w:rPr>
            </w:pPr>
            <w:r>
              <w:rPr>
                <w:rFonts w:ascii="Arial" w:cs="Arial" w:eastAsia="Arial" w:hAnsi="Arial"/>
                <w:sz w:val="18"/>
                <w:szCs w:val="18"/>
                <w:color w:val="auto"/>
              </w:rPr>
              <w:t>Elimination of intersegment operating profits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 operating profit (loss) before corporate and</w:t>
            </w:r>
          </w:p>
        </w:tc>
        <w:tc>
          <w:tcPr>
            <w:tcW w:w="1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amortization of acquired intangible assets</w:t>
            </w: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63,715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46,032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(50,965)</w:t>
            </w:r>
          </w:p>
        </w:tc>
        <w:tc>
          <w:tcPr>
            <w:tcW w:w="0" w:type="dxa"/>
            <w:vAlign w:val="bottom"/>
          </w:tcPr>
          <w:p>
            <w:pPr>
              <w:spacing w:after="0"/>
              <w:rPr>
                <w:sz w:val="1"/>
                <w:szCs w:val="1"/>
                <w:color w:val="auto"/>
              </w:rPr>
            </w:pPr>
          </w:p>
        </w:tc>
      </w:tr>
      <w:tr>
        <w:trPr>
          <w:trHeight w:val="216"/>
        </w:trPr>
        <w:tc>
          <w:tcPr>
            <w:tcW w:w="482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(5,482)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(7,611)</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(9,655)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58,233</w:t>
            </w:r>
          </w:p>
        </w:tc>
        <w:tc>
          <w:tcPr>
            <w:tcW w:w="1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38,421</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820" w:type="dxa"/>
            <w:vAlign w:val="bottom"/>
          </w:tcPr>
          <w:p>
            <w:pPr>
              <w:spacing w:after="0"/>
              <w:rPr>
                <w:sz w:val="24"/>
                <w:szCs w:val="24"/>
                <w:color w:val="auto"/>
              </w:rPr>
            </w:pPr>
          </w:p>
        </w:tc>
        <w:tc>
          <w:tcPr>
            <w:tcW w:w="1980" w:type="dxa"/>
            <w:vAlign w:val="bottom"/>
            <w:gridSpan w:val="2"/>
          </w:tcPr>
          <w:p>
            <w:pPr>
              <w:jc w:val="right"/>
              <w:ind w:right="1000"/>
              <w:spacing w:after="0"/>
              <w:rPr>
                <w:sz w:val="20"/>
                <w:szCs w:val="20"/>
                <w:color w:val="auto"/>
              </w:rPr>
            </w:pPr>
            <w:r>
              <w:rPr>
                <w:rFonts w:ascii="Arial" w:cs="Arial" w:eastAsia="Arial" w:hAnsi="Arial"/>
                <w:sz w:val="18"/>
                <w:szCs w:val="18"/>
                <w:color w:val="auto"/>
              </w:rPr>
              <w:t>F-41</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right="220" w:firstLine="510"/>
        <w:spacing w:after="0" w:line="238"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2021 and 2020 were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57"/>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r>
      <w:tr>
        <w:trPr>
          <w:trHeight w:val="162"/>
        </w:trPr>
        <w:tc>
          <w:tcPr>
            <w:tcW w:w="41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4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r>
      <w:tr>
        <w:trPr>
          <w:trHeight w:val="209"/>
        </w:trPr>
        <w:tc>
          <w:tcPr>
            <w:tcW w:w="4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180" w:type="dxa"/>
            <w:vAlign w:val="bottom"/>
          </w:tcPr>
          <w:p>
            <w:pPr>
              <w:ind w:left="480"/>
              <w:spacing w:after="0"/>
              <w:rPr>
                <w:sz w:val="20"/>
                <w:szCs w:val="20"/>
                <w:color w:val="auto"/>
              </w:rPr>
            </w:pPr>
            <w:r>
              <w:rPr>
                <w:rFonts w:ascii="Arial" w:cs="Arial" w:eastAsia="Arial" w:hAnsi="Arial"/>
                <w:sz w:val="18"/>
                <w:szCs w:val="18"/>
                <w:color w:val="auto"/>
              </w:rPr>
              <w:t>Satellite services</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64,048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86,252</w:t>
            </w:r>
          </w:p>
        </w:tc>
        <w:tc>
          <w:tcPr>
            <w:tcW w:w="80" w:type="dxa"/>
            <w:vAlign w:val="bottom"/>
          </w:tcPr>
          <w:p>
            <w:pPr>
              <w:spacing w:after="0"/>
              <w:rPr>
                <w:sz w:val="18"/>
                <w:szCs w:val="18"/>
                <w:color w:val="auto"/>
              </w:rPr>
            </w:pPr>
          </w:p>
        </w:tc>
      </w:tr>
      <w:tr>
        <w:trPr>
          <w:trHeight w:val="216"/>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networks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168,334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188,269</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Government systems</w:t>
            </w:r>
          </w:p>
        </w:tc>
        <w:tc>
          <w:tcPr>
            <w:tcW w:w="19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470,389</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484,237</w:t>
            </w:r>
          </w:p>
        </w:tc>
        <w:tc>
          <w:tcPr>
            <w:tcW w:w="8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segment assets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702,771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758,758</w:t>
            </w:r>
          </w:p>
        </w:tc>
        <w:tc>
          <w:tcPr>
            <w:tcW w:w="8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Corporate assets</w:t>
            </w:r>
          </w:p>
        </w:tc>
        <w:tc>
          <w:tcPr>
            <w:tcW w:w="19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4,646,696</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4,125,110</w:t>
            </w:r>
          </w:p>
        </w:tc>
        <w:tc>
          <w:tcPr>
            <w:tcW w:w="8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5,349,467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4,883,868</w:t>
            </w:r>
          </w:p>
        </w:tc>
        <w:tc>
          <w:tcPr>
            <w:tcW w:w="80" w:type="dxa"/>
            <w:vAlign w:val="bottom"/>
            <w:shd w:val="clear" w:color="auto" w:fill="CFF0FC"/>
          </w:tcPr>
          <w:p>
            <w:pPr>
              <w:spacing w:after="0"/>
              <w:rPr>
                <w:sz w:val="18"/>
                <w:szCs w:val="18"/>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net and goodwill included in segment assets as of March 31, 2021 and 2020 were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Assets, Net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778"/>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5"/>
                <w:szCs w:val="15"/>
                <w:color w:val="auto"/>
              </w:rPr>
            </w:pPr>
          </w:p>
        </w:tc>
      </w:tr>
      <w:tr>
        <w:trPr>
          <w:trHeight w:val="156"/>
        </w:trPr>
        <w:tc>
          <w:tcPr>
            <w:tcW w:w="3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900" w:type="dxa"/>
            <w:vAlign w:val="bottom"/>
          </w:tcPr>
          <w:p>
            <w:pPr>
              <w:jc w:val="center"/>
              <w:ind w:right="59"/>
              <w:spacing w:after="0" w:line="156"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rPr>
              <w:t>As of</w:t>
            </w:r>
          </w:p>
        </w:tc>
      </w:tr>
      <w:tr>
        <w:trPr>
          <w:trHeight w:val="162"/>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34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69"/>
        </w:trPr>
        <w:tc>
          <w:tcPr>
            <w:tcW w:w="3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13,489</w:t>
            </w:r>
          </w:p>
        </w:tc>
        <w:tc>
          <w:tcPr>
            <w:tcW w:w="100" w:type="dxa"/>
            <w:vAlign w:val="bottom"/>
            <w:shd w:val="clear" w:color="auto" w:fill="CFF0FC"/>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Commercial networks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43,981</w:t>
            </w:r>
          </w:p>
        </w:tc>
        <w:tc>
          <w:tcPr>
            <w:tcW w:w="100" w:type="dxa"/>
            <w:vAlign w:val="bottom"/>
          </w:tcPr>
          <w:p>
            <w:pPr>
              <w:spacing w:after="0"/>
              <w:rPr>
                <w:sz w:val="18"/>
                <w:szCs w:val="18"/>
                <w:color w:val="auto"/>
              </w:rPr>
            </w:pPr>
          </w:p>
        </w:tc>
      </w:tr>
      <w:tr>
        <w:trPr>
          <w:trHeight w:val="216"/>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7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3,830</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6,814</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64,442</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63,727</w:t>
            </w:r>
          </w:p>
        </w:tc>
        <w:tc>
          <w:tcPr>
            <w:tcW w:w="100" w:type="dxa"/>
            <w:vAlign w:val="bottom"/>
            <w:shd w:val="clear" w:color="auto" w:fill="CFF0FC"/>
          </w:tcPr>
          <w:p>
            <w:pPr>
              <w:spacing w:after="0"/>
              <w:rPr>
                <w:sz w:val="18"/>
                <w:szCs w:val="18"/>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9,568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14,439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122,300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121,197</w:t>
            </w:r>
          </w:p>
        </w:tc>
        <w:tc>
          <w:tcPr>
            <w:tcW w:w="10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Amortization of acquired intangible assets by segment for the fiscal years ended March 31, 2021, 2020 and 2019 was as follows:</w:t>
      </w:r>
    </w:p>
    <w:p>
      <w:pPr>
        <w:spacing w:after="0" w:line="19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36"/>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r>
      <w:tr>
        <w:trPr>
          <w:trHeight w:val="175"/>
        </w:trPr>
        <w:tc>
          <w:tcPr>
            <w:tcW w:w="4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r>
      <w:tr>
        <w:trPr>
          <w:trHeight w:val="223"/>
        </w:trPr>
        <w:tc>
          <w:tcPr>
            <w:tcW w:w="4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Commercial networks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1,542</w:t>
            </w: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7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3,061</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3,175</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3,256</w:t>
            </w:r>
          </w:p>
        </w:tc>
        <w:tc>
          <w:tcPr>
            <w:tcW w:w="80" w:type="dxa"/>
            <w:vAlign w:val="bottom"/>
            <w:shd w:val="clear" w:color="auto" w:fill="CFF0FC"/>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7,611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9,655</w:t>
            </w:r>
          </w:p>
        </w:tc>
        <w:tc>
          <w:tcPr>
            <w:tcW w:w="8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by geographic area for the fiscal years ended March 31, 2021, 2020 and 2019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6"/>
        </w:trPr>
        <w:tc>
          <w:tcPr>
            <w:tcW w:w="11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137"/>
              <w:spacing w:after="0" w:line="156"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3"/>
                <w:szCs w:val="13"/>
                <w:color w:val="auto"/>
              </w:rPr>
            </w:pPr>
          </w:p>
        </w:tc>
      </w:tr>
      <w:tr>
        <w:trPr>
          <w:trHeight w:val="175"/>
        </w:trPr>
        <w:tc>
          <w:tcPr>
            <w:tcW w:w="114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2,063,832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2,057,458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1,836,304</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Non U.S. customers (each country individually</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980" w:type="dxa"/>
            <w:vAlign w:val="bottom"/>
            <w:tcBorders>
              <w:bottom w:val="single" w:sz="8" w:color="CFF0FC"/>
            </w:tcBorders>
          </w:tcPr>
          <w:p>
            <w:pPr>
              <w:ind w:left="140"/>
              <w:spacing w:after="0" w:line="203" w:lineRule="exact"/>
              <w:rPr>
                <w:sz w:val="20"/>
                <w:szCs w:val="20"/>
                <w:color w:val="auto"/>
              </w:rPr>
            </w:pPr>
            <w:r>
              <w:rPr>
                <w:rFonts w:ascii="Arial" w:cs="Arial" w:eastAsia="Arial" w:hAnsi="Arial"/>
                <w:sz w:val="18"/>
                <w:szCs w:val="18"/>
                <w:color w:val="auto"/>
              </w:rPr>
              <w:t>insignificant)</w:t>
            </w:r>
          </w:p>
        </w:tc>
        <w:tc>
          <w:tcPr>
            <w:tcW w:w="12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192,275</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251,780</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231,954</w:t>
            </w:r>
          </w:p>
        </w:tc>
        <w:tc>
          <w:tcPr>
            <w:tcW w:w="80" w:type="dxa"/>
            <w:vAlign w:val="bottom"/>
            <w:tcBorders>
              <w:bottom w:val="single" w:sz="8" w:color="CFF0FC"/>
            </w:tcBorders>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2,256,107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2,309,238</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2,068,258</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F-42</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58" w:lineRule="exact"/>
        <w:rPr>
          <w:sz w:val="20"/>
          <w:szCs w:val="20"/>
          <w:color w:val="auto"/>
        </w:rPr>
      </w:pPr>
    </w:p>
    <w:p>
      <w:pPr>
        <w:ind w:right="320" w:firstLine="510"/>
        <w:spacing w:after="0" w:line="246" w:lineRule="auto"/>
        <w:rPr>
          <w:sz w:val="20"/>
          <w:szCs w:val="20"/>
          <w:color w:val="auto"/>
        </w:rPr>
      </w:pPr>
      <w:r>
        <w:rPr>
          <w:rFonts w:ascii="Arial" w:cs="Arial" w:eastAsia="Arial" w:hAnsi="Arial"/>
          <w:sz w:val="18"/>
          <w:szCs w:val="18"/>
          <w:color w:val="auto"/>
        </w:rPr>
        <w:t>The net book value of long-lived assets located outside the United States was $74.6 million at March 31, 2021 and $64.7 million at March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99"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On April 30, 2021, subsequent to fiscal year end, the Company purchased the remaining 51% interest in Euro Infrastructure Co. from Eutelsat for approximately € 142.6 million, or approximately $ 172.7 million (subject to customary post-closing net working capital and net debt adjustments). The purchase price was funded with available cash, resulting in a cash outlay of approximately €41.6 million, or $50.4 million, after consideration of approximately €101.0 million, or $122.3 million, of Euro Infrastructure Co.’s cash on hand.</w:t>
      </w:r>
    </w:p>
    <w:p>
      <w:pPr>
        <w:spacing w:after="0" w:line="151" w:lineRule="exact"/>
        <w:rPr>
          <w:sz w:val="20"/>
          <w:szCs w:val="20"/>
          <w:color w:val="auto"/>
        </w:rPr>
      </w:pPr>
    </w:p>
    <w:p>
      <w:pPr>
        <w:ind w:right="40" w:firstLine="510"/>
        <w:spacing w:after="0"/>
        <w:rPr>
          <w:sz w:val="20"/>
          <w:szCs w:val="20"/>
          <w:color w:val="auto"/>
        </w:rPr>
      </w:pPr>
      <w:r>
        <w:rPr>
          <w:rFonts w:ascii="Arial" w:cs="Arial" w:eastAsia="Arial" w:hAnsi="Arial"/>
          <w:sz w:val="18"/>
          <w:szCs w:val="18"/>
          <w:color w:val="auto"/>
        </w:rPr>
        <w:t>On April 30, 2021, subsequent to fiscal year end, the Company acquired RigNet, Inc. (RigNet) in exchange for the issuance of approximately 4.0 million shares of the Company’s common stock and a de minimis amount of cash in respect of fractional shares. RigNet is a leading provider of ultra-secure, intelligent networking solutions and specialized applications.</w:t>
      </w:r>
    </w:p>
    <w:p>
      <w:pPr>
        <w:spacing w:after="0" w:line="149" w:lineRule="exact"/>
        <w:rPr>
          <w:sz w:val="20"/>
          <w:szCs w:val="20"/>
          <w:color w:val="auto"/>
        </w:rPr>
      </w:pPr>
    </w:p>
    <w:p>
      <w:pPr>
        <w:ind w:right="200" w:firstLine="510"/>
        <w:spacing w:after="0" w:line="261" w:lineRule="auto"/>
        <w:rPr>
          <w:sz w:val="20"/>
          <w:szCs w:val="20"/>
          <w:color w:val="auto"/>
        </w:rPr>
      </w:pPr>
      <w:r>
        <w:rPr>
          <w:rFonts w:ascii="Arial" w:cs="Arial" w:eastAsia="Arial" w:hAnsi="Arial"/>
          <w:sz w:val="17"/>
          <w:szCs w:val="17"/>
          <w:color w:val="auto"/>
        </w:rPr>
        <w:t>Given the timing of the closing of these acquisitions, the Company is currently in the process of valuing the assets acquired and liabilities assumed in each of the business combinations. As a result, the Company is not yet able to provide the amounts to be recognized for the major classes of assets acquired and liabilities assumed and other disclosures required by ASC 805, Business Combinations.</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SCHEDULE 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Fiscal Years Ended March 31, 2021</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Deferred Tax</w:t>
            </w:r>
          </w:p>
        </w:tc>
      </w:tr>
      <w:tr>
        <w:trPr>
          <w:trHeight w:val="162"/>
        </w:trPr>
        <w:tc>
          <w:tcPr>
            <w:tcW w:w="46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Asset Valuation</w:t>
            </w:r>
          </w:p>
        </w:tc>
      </w:tr>
      <w:tr>
        <w:trPr>
          <w:trHeight w:val="175"/>
        </w:trPr>
        <w:tc>
          <w:tcPr>
            <w:tcW w:w="466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5"/>
                <w:szCs w:val="15"/>
                <w:color w:val="auto"/>
              </w:rPr>
            </w:pPr>
          </w:p>
        </w:tc>
      </w:tr>
      <w:tr>
        <w:trPr>
          <w:trHeight w:val="169"/>
        </w:trPr>
        <w:tc>
          <w:tcPr>
            <w:tcW w:w="46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2018</w:t>
            </w:r>
          </w:p>
        </w:tc>
        <w:tc>
          <w:tcPr>
            <w:tcW w:w="48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29,049</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4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Balance, March 31, 2019</w:t>
            </w:r>
          </w:p>
        </w:tc>
        <w:tc>
          <w:tcPr>
            <w:tcW w:w="48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33,499</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4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9,122</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Deductions</w:t>
            </w:r>
          </w:p>
        </w:tc>
        <w:tc>
          <w:tcPr>
            <w:tcW w:w="43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48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42,621</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500"/>
              <w:spacing w:after="0"/>
              <w:rPr>
                <w:sz w:val="20"/>
                <w:szCs w:val="20"/>
                <w:color w:val="auto"/>
              </w:rPr>
            </w:pPr>
            <w:r>
              <w:rPr>
                <w:rFonts w:ascii="Arial" w:cs="Arial" w:eastAsia="Arial" w:hAnsi="Arial"/>
                <w:sz w:val="18"/>
                <w:szCs w:val="18"/>
                <w:color w:val="auto"/>
              </w:rPr>
              <w:t>Charged (credited) to costs and expenses</w:t>
            </w:r>
          </w:p>
        </w:tc>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Deductions</w:t>
            </w:r>
          </w:p>
        </w:tc>
        <w:tc>
          <w:tcPr>
            <w:tcW w:w="4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Balance, March 31, 2021</w:t>
            </w:r>
          </w:p>
        </w:tc>
        <w:tc>
          <w:tcPr>
            <w:tcW w:w="4580" w:type="dxa"/>
            <w:vAlign w:val="bottom"/>
            <w:gridSpan w:val="2"/>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47,076</w:t>
            </w:r>
          </w:p>
        </w:tc>
        <w:tc>
          <w:tcPr>
            <w:tcW w:w="10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31"/>
        </w:trPr>
        <w:tc>
          <w:tcPr>
            <w:tcW w:w="4660" w:type="dxa"/>
            <w:vAlign w:val="bottom"/>
          </w:tcPr>
          <w:p>
            <w:pPr>
              <w:spacing w:after="0"/>
              <w:rPr>
                <w:sz w:val="24"/>
                <w:szCs w:val="24"/>
                <w:color w:val="auto"/>
              </w:rPr>
            </w:pPr>
          </w:p>
        </w:tc>
        <w:tc>
          <w:tcPr>
            <w:tcW w:w="4840" w:type="dxa"/>
            <w:vAlign w:val="bottom"/>
            <w:gridSpan w:val="3"/>
          </w:tcPr>
          <w:p>
            <w:pPr>
              <w:jc w:val="right"/>
              <w:ind w:right="3650"/>
              <w:spacing w:after="0"/>
              <w:rPr>
                <w:sz w:val="20"/>
                <w:szCs w:val="20"/>
                <w:color w:val="auto"/>
              </w:rPr>
            </w:pPr>
            <w:r>
              <w:rPr>
                <w:rFonts w:ascii="Arial" w:cs="Arial" w:eastAsia="Arial" w:hAnsi="Arial"/>
                <w:sz w:val="18"/>
                <w:szCs w:val="18"/>
                <w:color w:val="auto"/>
              </w:rPr>
              <w:t>II-1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8" w:name="page109"/>
    <w:bookmarkEnd w:id="108"/>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463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&lt;&lt;Viasat Senegal&gt;&gt; SUARL</w:t>
      </w:r>
    </w:p>
    <w:p>
      <w:pPr>
        <w:ind w:right="940"/>
        <w:spacing w:after="0" w:line="250" w:lineRule="auto"/>
        <w:rPr>
          <w:sz w:val="20"/>
          <w:szCs w:val="20"/>
          <w:color w:val="auto"/>
        </w:rPr>
      </w:pPr>
      <w:r>
        <w:rPr>
          <w:rFonts w:ascii="Arial" w:cs="Arial" w:eastAsia="Arial" w:hAnsi="Arial"/>
          <w:sz w:val="18"/>
          <w:szCs w:val="18"/>
          <w:color w:val="auto"/>
        </w:rPr>
        <w:t>Automation Communications Engineering Corporation Beijing Viasat Science and Technology Co., Ltd. C.S.G. Cyprus Space Gateways Ltd</w:t>
      </w:r>
    </w:p>
    <w:p>
      <w:pPr>
        <w:spacing w:after="0" w:line="1" w:lineRule="exact"/>
        <w:rPr>
          <w:sz w:val="20"/>
          <w:szCs w:val="20"/>
          <w:color w:val="auto"/>
        </w:rPr>
      </w:pPr>
    </w:p>
    <w:p>
      <w:pPr>
        <w:ind w:right="1860"/>
        <w:spacing w:after="0" w:line="250" w:lineRule="auto"/>
        <w:rPr>
          <w:sz w:val="20"/>
          <w:szCs w:val="20"/>
          <w:color w:val="auto"/>
        </w:rPr>
      </w:pPr>
      <w:r>
        <w:rPr>
          <w:rFonts w:ascii="Arial" w:cs="Arial" w:eastAsia="Arial" w:hAnsi="Arial"/>
          <w:sz w:val="18"/>
          <w:szCs w:val="18"/>
          <w:color w:val="auto"/>
        </w:rPr>
        <w:t>Carmel Comunicaciones, S.A. de C.V. ComPetro Communications Holdings, LLC ComPetro Communications,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ComPetro Comunicações Holdings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Cyphre Security Solutions,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Engreen, Inc.</w:t>
      </w:r>
    </w:p>
    <w:p>
      <w:pPr>
        <w:spacing w:after="0" w:line="9" w:lineRule="exact"/>
        <w:rPr>
          <w:sz w:val="20"/>
          <w:szCs w:val="20"/>
          <w:color w:val="auto"/>
        </w:rPr>
      </w:pPr>
    </w:p>
    <w:p>
      <w:pPr>
        <w:ind w:right="2340"/>
        <w:spacing w:after="0" w:line="253" w:lineRule="auto"/>
        <w:rPr>
          <w:sz w:val="20"/>
          <w:szCs w:val="20"/>
          <w:color w:val="auto"/>
        </w:rPr>
      </w:pPr>
      <w:r>
        <w:rPr>
          <w:rFonts w:ascii="Arial" w:cs="Arial" w:eastAsia="Arial" w:hAnsi="Arial"/>
          <w:sz w:val="18"/>
          <w:szCs w:val="18"/>
          <w:color w:val="auto"/>
        </w:rPr>
        <w:t>Engreen India Private Limited Euro Broadband Infrastructure Sàrl Euro Broadband Services S.r.l. Intelie Solucoes em Informatica S.A. Intelie Technology LLC Intelie, Inc.</w:t>
      </w:r>
    </w:p>
    <w:p>
      <w:pPr>
        <w:spacing w:after="0" w:line="205" w:lineRule="exact"/>
        <w:rPr>
          <w:sz w:val="20"/>
          <w:szCs w:val="20"/>
          <w:color w:val="auto"/>
        </w:rPr>
      </w:pPr>
    </w:p>
    <w:p>
      <w:pPr>
        <w:ind w:right="1980"/>
        <w:spacing w:after="0" w:line="250" w:lineRule="auto"/>
        <w:rPr>
          <w:sz w:val="20"/>
          <w:szCs w:val="20"/>
          <w:color w:val="auto"/>
        </w:rPr>
      </w:pPr>
      <w:r>
        <w:rPr>
          <w:rFonts w:ascii="Arial" w:cs="Arial" w:eastAsia="Arial" w:hAnsi="Arial"/>
          <w:sz w:val="18"/>
          <w:szCs w:val="18"/>
          <w:color w:val="auto"/>
        </w:rPr>
        <w:t>IOM Licensing Holding Company Limited Irish Space Gateways Ltd LandTel Communications, LLC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LandTel,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mmWaveBroadband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Munaicom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Nessco Invsat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Orgtec, S. de R.L.de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Angola, LDA</w:t>
      </w:r>
    </w:p>
    <w:p>
      <w:pPr>
        <w:spacing w:after="0" w:line="9" w:lineRule="exact"/>
        <w:rPr>
          <w:sz w:val="20"/>
          <w:szCs w:val="20"/>
          <w:color w:val="auto"/>
        </w:rPr>
      </w:pPr>
    </w:p>
    <w:p>
      <w:pPr>
        <w:ind w:right="2100"/>
        <w:spacing w:after="0" w:line="250" w:lineRule="auto"/>
        <w:rPr>
          <w:sz w:val="20"/>
          <w:szCs w:val="20"/>
          <w:color w:val="auto"/>
        </w:rPr>
      </w:pPr>
      <w:r>
        <w:rPr>
          <w:rFonts w:ascii="Arial" w:cs="Arial" w:eastAsia="Arial" w:hAnsi="Arial"/>
          <w:sz w:val="18"/>
          <w:szCs w:val="18"/>
          <w:color w:val="auto"/>
        </w:rPr>
        <w:t>RigNet AP Facilities &amp; Services Limited RigNet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RigNet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BRN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Company for Communication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de México,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EIS,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Ghana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Global Holdings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Luxembourg Holdings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Middle East - FZE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Middle East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Mobile Solutions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Mozambieque Limitada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Newco,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Qatar W.L.L.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Satcom,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Serviços de Telecomunicações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UK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RigNet, Inc. (Limited Liability One Person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RNET Properties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RNSAT Servicios de México,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Safety Controls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Shabakat Rafedain AI Iraq AI Jadeed for Trade in Communication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Equipment and Devices LLC</w:t>
      </w:r>
    </w:p>
    <w:p>
      <w:pPr>
        <w:spacing w:after="0"/>
        <w:rPr>
          <w:sz w:val="20"/>
          <w:szCs w:val="20"/>
          <w:color w:val="auto"/>
        </w:rPr>
      </w:pPr>
      <w:r>
        <w:rPr>
          <w:rFonts w:ascii="Arial" w:cs="Arial" w:eastAsia="Arial" w:hAnsi="Arial"/>
          <w:sz w:val="18"/>
          <w:szCs w:val="18"/>
          <w:color w:val="auto"/>
        </w:rPr>
        <w:t>Skylogic D.o.o.</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02"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3557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Senegal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Cyprus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 of 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Angola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Brunei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Mozambique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Qatar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(LA)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Iraq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Croatia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327660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5240" w:space="400"/>
            <w:col w:w="5600"/>
          </w:cols>
          <w:pgMar w:left="320" w:top="333" w:right="33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3463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Skylogic Espana S.L.U.</w:t>
      </w:r>
    </w:p>
    <w:p>
      <w:pPr>
        <w:spacing w:after="0"/>
        <w:rPr>
          <w:sz w:val="20"/>
          <w:szCs w:val="20"/>
          <w:color w:val="auto"/>
        </w:rPr>
      </w:pPr>
      <w:r>
        <w:rPr>
          <w:rFonts w:ascii="Arial" w:cs="Arial" w:eastAsia="Arial" w:hAnsi="Arial"/>
          <w:sz w:val="18"/>
          <w:szCs w:val="18"/>
          <w:color w:val="auto"/>
        </w:rPr>
        <w:t>Skylogic Eurasia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Skylogic Finland 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Skylogic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Skylogic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Skylogic Hellas MEPE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TrellisWare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VGlobal Corp,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(Cambodia)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(IOM)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Antenna Systems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APAC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Australia Pty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Brasil Participações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Brasil Serviços de Comunicações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Broadband Holdings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Cambodia Holdings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Canada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Carrier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China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Colombia S.A.S</w:t>
      </w:r>
    </w:p>
    <w:p>
      <w:pPr>
        <w:spacing w:after="0" w:line="9" w:lineRule="exact"/>
        <w:rPr>
          <w:sz w:val="20"/>
          <w:szCs w:val="20"/>
          <w:color w:val="auto"/>
        </w:rPr>
      </w:pPr>
    </w:p>
    <w:p>
      <w:pPr>
        <w:ind w:right="1660"/>
        <w:spacing w:after="0" w:line="250" w:lineRule="auto"/>
        <w:rPr>
          <w:sz w:val="20"/>
          <w:szCs w:val="20"/>
          <w:color w:val="auto"/>
        </w:rPr>
      </w:pPr>
      <w:r>
        <w:rPr>
          <w:rFonts w:ascii="Arial" w:cs="Arial" w:eastAsia="Arial" w:hAnsi="Arial"/>
          <w:sz w:val="18"/>
          <w:szCs w:val="18"/>
          <w:color w:val="auto"/>
        </w:rPr>
        <w:t>Viasat Communications Germany GmbH Viasat Communications Italy S.r.l. Viasat Communications Ltd.</w:t>
      </w:r>
    </w:p>
    <w:p>
      <w:pPr>
        <w:spacing w:after="0" w:line="1" w:lineRule="exact"/>
        <w:rPr>
          <w:sz w:val="20"/>
          <w:szCs w:val="20"/>
          <w:color w:val="auto"/>
        </w:rPr>
      </w:pPr>
    </w:p>
    <w:p>
      <w:pPr>
        <w:ind w:right="1720"/>
        <w:spacing w:after="0" w:line="250" w:lineRule="auto"/>
        <w:rPr>
          <w:sz w:val="20"/>
          <w:szCs w:val="20"/>
          <w:color w:val="auto"/>
        </w:rPr>
      </w:pPr>
      <w:r>
        <w:rPr>
          <w:rFonts w:ascii="Arial" w:cs="Arial" w:eastAsia="Arial" w:hAnsi="Arial"/>
          <w:sz w:val="18"/>
          <w:szCs w:val="18"/>
          <w:color w:val="auto"/>
        </w:rPr>
        <w:t>Viasat Communications Uganda Limited Viasat Europe Limited Viasat Europe Sàrl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Viasat Germany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Global Holdings, LLC</w:t>
      </w:r>
    </w:p>
    <w:p>
      <w:pPr>
        <w:spacing w:after="0" w:line="9" w:lineRule="exact"/>
        <w:rPr>
          <w:sz w:val="20"/>
          <w:szCs w:val="20"/>
          <w:color w:val="auto"/>
        </w:rPr>
      </w:pPr>
    </w:p>
    <w:p>
      <w:pPr>
        <w:ind w:right="1920"/>
        <w:spacing w:after="0" w:line="250" w:lineRule="auto"/>
        <w:rPr>
          <w:sz w:val="20"/>
          <w:szCs w:val="20"/>
          <w:color w:val="auto"/>
        </w:rPr>
      </w:pPr>
      <w:r>
        <w:rPr>
          <w:rFonts w:ascii="Arial" w:cs="Arial" w:eastAsia="Arial" w:hAnsi="Arial"/>
          <w:sz w:val="18"/>
          <w:szCs w:val="18"/>
          <w:color w:val="auto"/>
        </w:rPr>
        <w:t>Viasat Guatemala Sociedad Anonima Viasat Honduras, S. de R.L. Viasat Ibérica, S.L..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Viasat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Israel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Italy S.r.l.</w:t>
      </w:r>
    </w:p>
    <w:p>
      <w:pPr>
        <w:spacing w:after="0" w:line="12"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 xml:space="preserve">Viasat Japan </w:t>
      </w:r>
      <w:r>
        <w:rPr>
          <w:rFonts w:ascii="SimSun" w:cs="SimSun" w:eastAsia="SimSun" w:hAnsi="SimSun"/>
          <w:sz w:val="18"/>
          <w:szCs w:val="18"/>
          <w:color w:val="auto"/>
        </w:rPr>
        <w:t>合同会社</w:t>
      </w:r>
      <w:r>
        <w:rPr>
          <w:rFonts w:ascii="Arial" w:cs="Arial" w:eastAsia="Arial" w:hAnsi="Arial"/>
          <w:sz w:val="18"/>
          <w:szCs w:val="18"/>
          <w:color w:val="auto"/>
        </w:rPr>
        <w:t xml:space="preserve"> (Viasat Japan G.K.).</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Viasat Kenya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Kenya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Malaysia Sdn. Bhd.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Mali-Sarl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Netherlands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Nigeria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Nigeria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Peru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Polska LLC sp. z o.o..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Rwanda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Satellite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Viasat Satellite Ventures Holdings Luxembourg S.a.r.l.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Viasat Services Holding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South Africa (Pty) Ltd</w:t>
      </w:r>
    </w:p>
    <w:p>
      <w:pPr>
        <w:spacing w:after="0" w:line="9" w:lineRule="exact"/>
        <w:rPr>
          <w:sz w:val="20"/>
          <w:szCs w:val="20"/>
          <w:color w:val="auto"/>
        </w:rPr>
      </w:pPr>
    </w:p>
    <w:p>
      <w:pPr>
        <w:ind w:right="2000"/>
        <w:spacing w:after="0" w:line="250" w:lineRule="auto"/>
        <w:rPr>
          <w:sz w:val="20"/>
          <w:szCs w:val="20"/>
          <w:color w:val="auto"/>
        </w:rPr>
      </w:pPr>
      <w:r>
        <w:rPr>
          <w:rFonts w:ascii="Arial" w:cs="Arial" w:eastAsia="Arial" w:hAnsi="Arial"/>
          <w:sz w:val="18"/>
          <w:szCs w:val="18"/>
          <w:color w:val="auto"/>
        </w:rPr>
        <w:t>Viasat South Africa Holdings Limited Viasat Tchad Sarl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Viasat Technologies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Tecnologia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VS3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Worldwide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Viasat Zambia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VParent,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35572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Cambodia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Isle of 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Guatemala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Honduras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Rwanda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Zambia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327660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2">
            <w:col w:w="4920" w:space="720"/>
            <w:col w:w="4520"/>
          </w:cols>
          <w:pgMar w:left="320" w:top="337" w:right="14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7"/>
        </w:trPr>
        <w:tc>
          <w:tcPr>
            <w:tcW w:w="5620" w:type="dxa"/>
            <w:vAlign w:val="bottom"/>
            <w:gridSpan w:val="2"/>
          </w:tcPr>
          <w:p>
            <w:pPr>
              <w:spacing w:after="0"/>
              <w:rPr>
                <w:sz w:val="20"/>
                <w:szCs w:val="20"/>
                <w:color w:val="auto"/>
              </w:rPr>
            </w:pPr>
            <w:r>
              <w:rPr>
                <w:rFonts w:ascii="Arial" w:cs="Arial" w:eastAsia="Arial" w:hAnsi="Arial"/>
                <w:sz w:val="14"/>
                <w:szCs w:val="14"/>
                <w:color w:val="auto"/>
              </w:rPr>
              <w:t>Subsidiaries</w:t>
            </w:r>
          </w:p>
        </w:tc>
        <w:tc>
          <w:tcPr>
            <w:tcW w:w="5620" w:type="dxa"/>
            <w:vAlign w:val="bottom"/>
          </w:tcPr>
          <w:p>
            <w:pPr>
              <w:ind w:left="1100"/>
              <w:spacing w:after="0"/>
              <w:rPr>
                <w:sz w:val="20"/>
                <w:szCs w:val="20"/>
                <w:color w:val="auto"/>
              </w:rPr>
            </w:pPr>
            <w:r>
              <w:rPr>
                <w:rFonts w:ascii="Arial" w:cs="Arial" w:eastAsia="Arial" w:hAnsi="Arial"/>
                <w:sz w:val="14"/>
                <w:szCs w:val="14"/>
                <w:color w:val="auto"/>
              </w:rPr>
              <w:t>State or Other Jurisdiction of Incorporation or Organization</w:t>
            </w:r>
          </w:p>
        </w:tc>
      </w:tr>
      <w:tr>
        <w:trPr>
          <w:trHeight w:val="195"/>
        </w:trPr>
        <w:tc>
          <w:tcPr>
            <w:tcW w:w="5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VS3 MOROCCO (SARL)</w:t>
            </w:r>
          </w:p>
        </w:tc>
        <w:tc>
          <w:tcPr>
            <w:tcW w:w="18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Morocco</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VService, Inc.</w:t>
            </w:r>
          </w:p>
        </w:tc>
        <w:tc>
          <w:tcPr>
            <w:tcW w:w="5620" w:type="dxa"/>
            <w:vAlign w:val="bottom"/>
          </w:tcPr>
          <w:p>
            <w:pPr>
              <w:spacing w:after="0"/>
              <w:rPr>
                <w:sz w:val="20"/>
                <w:szCs w:val="20"/>
                <w:color w:val="auto"/>
              </w:rPr>
            </w:pPr>
            <w:r>
              <w:rPr>
                <w:rFonts w:ascii="Arial" w:cs="Arial" w:eastAsia="Arial" w:hAnsi="Arial"/>
                <w:sz w:val="18"/>
                <w:szCs w:val="18"/>
                <w:color w:val="auto"/>
              </w:rPr>
              <w:t>United States (DE)</w:t>
            </w:r>
          </w:p>
        </w:tc>
      </w:tr>
    </w:tbl>
    <w:p>
      <w:pPr>
        <w:sectPr>
          <w:pgSz w:w="11900" w:h="16838" w:orient="portrait"/>
          <w:cols w:equalWidth="0" w:num="1">
            <w:col w:w="11240"/>
          </w:cols>
          <w:pgMar w:left="320" w:top="337"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333-74276, 333-85522, 333-135652, 333-141238, 333-143425, 333-229605 and 333-242477) and Form S-8 (File Nos. 333-21113, 333-40396, 333-67010, 333-68757, 333-109959, 333-131382, 333-153828, 333-159708, 333-160361, 333-167379, 333-169593, 333-182015, 333-184029, 333-191326, 333-204440, 333-207064, 333-220556, 333-228221, 333-231791, 333-234634, 333-249941 and 333-255690) of Viasat, Inc. of our report dated May 28, 2021 relating to the financial statements, financial statement schedule and the effectiveness of internal control over financial reporting, which appears in this Form 10-K.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4" w:lineRule="auto"/>
        <w:rPr>
          <w:sz w:val="20"/>
          <w:szCs w:val="20"/>
          <w:color w:val="auto"/>
        </w:rPr>
      </w:pPr>
      <w:r>
        <w:rPr>
          <w:rFonts w:ascii="Arial" w:cs="Arial" w:eastAsia="Arial" w:hAnsi="Arial"/>
          <w:sz w:val="18"/>
          <w:szCs w:val="18"/>
          <w:color w:val="auto"/>
        </w:rPr>
        <w:t>San Diego,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May 28, 2021</w:t>
      </w:r>
    </w:p>
    <w:p>
      <w:pPr>
        <w:sectPr>
          <w:pgSz w:w="11900" w:h="16838" w:orient="portrait"/>
          <w:cols w:equalWidth="0" w:num="1">
            <w:col w:w="11240"/>
          </w:cols>
          <w:pgMar w:left="320" w:top="130"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Richard Baldridge, Chief Executive Officer of Viasat, Inc., certify that:</w:t>
      </w:r>
    </w:p>
    <w:p>
      <w:pPr>
        <w:spacing w:after="0" w:line="104"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21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Richard Baldridge</w:t>
      </w: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3"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CERTIFICATION OF CHIEF FINANCIAL OFFICER PURSUANT</w:t>
      </w:r>
    </w:p>
    <w:p>
      <w:pPr>
        <w:ind w:left="31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00" w:right="1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00" w:right="6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00" w:right="300" w:hanging="493"/>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00" w:right="220" w:hanging="493"/>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00" w:right="40" w:hanging="493"/>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00" w:right="28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00" w:right="220" w:hanging="493"/>
        <w:spacing w:after="0"/>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00" w:right="140" w:hanging="493"/>
        <w:spacing w:after="0" w:line="246"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Shawn Duffy</w:t>
      </w: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3"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100" w:firstLine="483"/>
        <w:spacing w:after="0"/>
        <w:tabs>
          <w:tab w:leader="none" w:pos="12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2021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840" w:firstLine="483"/>
        <w:spacing w:after="0" w:line="246" w:lineRule="auto"/>
        <w:tabs>
          <w:tab w:leader="none" w:pos="12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2021</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R</w:t>
      </w:r>
      <w:r>
        <w:rPr>
          <w:rFonts w:ascii="Arial" w:cs="Arial" w:eastAsia="Arial" w:hAnsi="Arial"/>
          <w:sz w:val="13"/>
          <w:szCs w:val="13"/>
          <w:color w:val="auto"/>
        </w:rPr>
        <w:t>ICHARD</w:t>
      </w:r>
      <w:r>
        <w:rPr>
          <w:rFonts w:ascii="Arial" w:cs="Arial" w:eastAsia="Arial" w:hAnsi="Arial"/>
          <w:sz w:val="18"/>
          <w:szCs w:val="18"/>
          <w:color w:val="auto"/>
        </w:rPr>
        <w:t xml:space="preserve"> B</w:t>
      </w:r>
      <w:r>
        <w:rPr>
          <w:rFonts w:ascii="Arial" w:cs="Arial" w:eastAsia="Arial" w:hAnsi="Arial"/>
          <w:sz w:val="13"/>
          <w:szCs w:val="13"/>
          <w:color w:val="auto"/>
        </w:rPr>
        <w:t>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Richard Baldridge</w:t>
      </w:r>
    </w:p>
    <w:p>
      <w:pPr>
        <w:ind w:left="6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jc w:val="both"/>
        <w:ind w:left="520" w:right="100" w:firstLine="483"/>
        <w:spacing w:after="0"/>
        <w:tabs>
          <w:tab w:leader="none" w:pos="12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2021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520" w:right="840" w:firstLine="483"/>
        <w:spacing w:after="0" w:line="246" w:lineRule="auto"/>
        <w:tabs>
          <w:tab w:leader="none" w:pos="12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May 28, 2021</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-1905</wp:posOffset>
            </wp:positionV>
            <wp:extent cx="28460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Shawn Duffy</w:t>
      </w:r>
    </w:p>
    <w:p>
      <w:pPr>
        <w:ind w:left="67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Roman"/>
      <w:start w:val="2"/>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6"/>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2"/>
    </w:lvl>
  </w:abstractNum>
  <w:abstractNum w:abstractNumId="30">
    <w:nsid w:val="2463B9EA"/>
    <w:multiLevelType w:val="hybridMultilevel"/>
    <w:lvl w:ilvl="0">
      <w:lvlJc w:val="left"/>
      <w:lvlText w:val="(%1)"/>
      <w:numFmt w:val="decimal"/>
      <w:start w:val="4"/>
    </w:lvl>
  </w:abstractNum>
  <w:abstractNum w:abstractNumId="31">
    <w:nsid w:val="5E884ADC"/>
    <w:multiLevelType w:val="hybridMultilevel"/>
    <w:lvl w:ilvl="0">
      <w:lvlJc w:val="left"/>
      <w:lvlText w:val="(%1)"/>
      <w:numFmt w:val="lowerLetter"/>
      <w:start w:val="1"/>
    </w:lvl>
    <w:lvl w:ilvl="1">
      <w:lvlJc w:val="left"/>
      <w:lvlText w:val="(%2)"/>
      <w:numFmt w:val="decimal"/>
      <w:start w:val="1"/>
    </w:lvl>
  </w:abstractNum>
  <w:abstractNum w:abstractNumId="32">
    <w:nsid w:val="51EAD36B"/>
    <w:multiLevelType w:val="hybridMultilevel"/>
    <w:lvl w:ilvl="0">
      <w:lvlJc w:val="left"/>
      <w:lvlText w:val="(%1)"/>
      <w:numFmt w:val="decimal"/>
      <w:start w:val="3"/>
    </w:lvl>
  </w:abstractNum>
  <w:abstractNum w:abstractNumId="33">
    <w:nsid w:val="2D517796"/>
    <w:multiLevelType w:val="hybridMultilevel"/>
    <w:lvl w:ilvl="0">
      <w:lvlJc w:val="left"/>
      <w:lvlText w:val="*"/>
      <w:numFmt w:val="bullet"/>
      <w:start w:val="1"/>
    </w:lvl>
    <w:lvl w:ilvl="1">
      <w:lvlJc w:val="left"/>
      <w:lvlText w:val="%2"/>
      <w:numFmt w:val="decimal"/>
      <w:start w:val="104"/>
    </w:lvl>
  </w:abstractNum>
  <w:abstractNum w:abstractNumId="34">
    <w:nsid w:val="580BD78F"/>
    <w:multiLevelType w:val="hybridMultilevel"/>
    <w:lvl w:ilvl="0">
      <w:lvlJc w:val="left"/>
      <w:lvlText w:val="(%1)"/>
      <w:numFmt w:val="lowerLetter"/>
      <w:start w:val="16"/>
    </w:lvl>
  </w:abstractNum>
  <w:abstractNum w:abstractNumId="35">
    <w:nsid w:val="153EA438"/>
    <w:multiLevelType w:val="hybridMultilevel"/>
    <w:lvl w:ilvl="0">
      <w:lvlJc w:val="left"/>
      <w:lvlText w:val="\emdash "/>
      <w:numFmt w:val="bullet"/>
      <w:start w:val="1"/>
    </w:lvl>
  </w:abstractNum>
  <w:abstractNum w:abstractNumId="36">
    <w:nsid w:val="3855585C"/>
    <w:multiLevelType w:val="hybridMultilevel"/>
    <w:lvl w:ilvl="0">
      <w:lvlJc w:val="left"/>
      <w:lvlText w:val="(%1)"/>
      <w:numFmt w:val="decimal"/>
      <w:start w:val="2"/>
    </w:lvl>
  </w:abstractNum>
  <w:abstractNum w:abstractNumId="37">
    <w:nsid w:val="70A64E2A"/>
    <w:multiLevelType w:val="hybridMultilevel"/>
    <w:lvl w:ilvl="0">
      <w:lvlJc w:val="left"/>
      <w:lvlText w:val="%1)"/>
      <w:numFmt w:val="decimal"/>
      <w:start w:val="606"/>
    </w:lvl>
  </w:abstractNum>
  <w:abstractNum w:abstractNumId="38">
    <w:nsid w:val="6A2342EC"/>
    <w:multiLevelType w:val="hybridMultilevel"/>
    <w:lvl w:ilvl="0">
      <w:lvlJc w:val="left"/>
      <w:lvlText w:val="%1."/>
      <w:numFmt w:val="decimal"/>
      <w:start w:val="842"/>
    </w:lvl>
  </w:abstractNum>
  <w:abstractNum w:abstractNumId="39">
    <w:nsid w:val="2A487CB0"/>
    <w:multiLevelType w:val="hybridMultilevel"/>
    <w:lvl w:ilvl="0">
      <w:lvlJc w:val="left"/>
      <w:lvlText w:val="%1."/>
      <w:numFmt w:val="decimal"/>
      <w:start w:val="4"/>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lowerLetter"/>
      <w:start w:val="1"/>
    </w:lvl>
  </w:abstractNum>
  <w:abstractNum w:abstractNumId="45">
    <w:nsid w:val="4B588F5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15" Type="http://schemas.openxmlformats.org/officeDocument/2006/relationships/image" Target="media/image74.png"/><Relationship Id="rId116" Type="http://schemas.openxmlformats.org/officeDocument/2006/relationships/image" Target="media/image75.png"/><Relationship Id="rId117" Type="http://schemas.openxmlformats.org/officeDocument/2006/relationships/image" Target="media/image76.png"/><Relationship Id="rId118" Type="http://schemas.openxmlformats.org/officeDocument/2006/relationships/image" Target="media/image77.png"/><Relationship Id="rId119" Type="http://schemas.openxmlformats.org/officeDocument/2006/relationships/image" Target="media/image78.png"/><Relationship Id="rId120" Type="http://schemas.openxmlformats.org/officeDocument/2006/relationships/image" Target="media/image79.png"/><Relationship Id="rId121" Type="http://schemas.openxmlformats.org/officeDocument/2006/relationships/image" Target="media/image80.png"/><Relationship Id="rId122" Type="http://schemas.openxmlformats.org/officeDocument/2006/relationships/image" Target="media/image81.png"/><Relationship Id="rId123" Type="http://schemas.openxmlformats.org/officeDocument/2006/relationships/image" Target="media/image82.png"/><Relationship Id="rId124" Type="http://schemas.openxmlformats.org/officeDocument/2006/relationships/image" Target="media/image83.png"/><Relationship Id="rId125" Type="http://schemas.openxmlformats.org/officeDocument/2006/relationships/image" Target="media/image84.png"/><Relationship Id="rId126" Type="http://schemas.openxmlformats.org/officeDocument/2006/relationships/image" Target="media/image85.png"/><Relationship Id="rId127" Type="http://schemas.openxmlformats.org/officeDocument/2006/relationships/image" Target="media/image86.png"/><Relationship Id="rId128" Type="http://schemas.openxmlformats.org/officeDocument/2006/relationships/image" Target="media/image87.png"/><Relationship Id="rId129" Type="http://schemas.openxmlformats.org/officeDocument/2006/relationships/image" Target="media/image88.png"/><Relationship Id="rId130" Type="http://schemas.openxmlformats.org/officeDocument/2006/relationships/image" Target="media/image89.png"/><Relationship Id="rId131" Type="http://schemas.openxmlformats.org/officeDocument/2006/relationships/image" Target="media/image90.png"/><Relationship Id="rId132" Type="http://schemas.openxmlformats.org/officeDocument/2006/relationships/image" Target="media/image91.png"/><Relationship Id="rId133" Type="http://schemas.openxmlformats.org/officeDocument/2006/relationships/image" Target="media/image92.png"/><Relationship Id="rId134" Type="http://schemas.openxmlformats.org/officeDocument/2006/relationships/image" Target="media/image93.png"/><Relationship Id="rId135" Type="http://schemas.openxmlformats.org/officeDocument/2006/relationships/image" Target="media/image94.png"/><Relationship Id="rId136" Type="http://schemas.openxmlformats.org/officeDocument/2006/relationships/image" Target="media/image95.png"/><Relationship Id="rId137" Type="http://schemas.openxmlformats.org/officeDocument/2006/relationships/image" Target="media/image96.png"/><Relationship Id="rId138" Type="http://schemas.openxmlformats.org/officeDocument/2006/relationships/image" Target="media/image97.png"/><Relationship Id="rId139" Type="http://schemas.openxmlformats.org/officeDocument/2006/relationships/image" Target="media/image98.png"/><Relationship Id="rId140" Type="http://schemas.openxmlformats.org/officeDocument/2006/relationships/image" Target="media/image99.png"/><Relationship Id="rId141" Type="http://schemas.openxmlformats.org/officeDocument/2006/relationships/image" Target="media/image100.png"/><Relationship Id="rId142" Type="http://schemas.openxmlformats.org/officeDocument/2006/relationships/image" Target="media/image101.png"/><Relationship Id="rId143" Type="http://schemas.openxmlformats.org/officeDocument/2006/relationships/image" Target="media/image102.png"/><Relationship Id="rId144" Type="http://schemas.openxmlformats.org/officeDocument/2006/relationships/image" Target="media/image103.png"/><Relationship Id="rId145"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48" Type="http://schemas.openxmlformats.org/officeDocument/2006/relationships/image" Target="media/image107.png"/><Relationship Id="rId149"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77" Type="http://schemas.openxmlformats.org/officeDocument/2006/relationships/hyperlink" Target="http://www.sec.gov/Archives/edgar/data/797721/000119312520322384/d16566dex21.htm" TargetMode="External"/><Relationship Id="rId78" Type="http://schemas.openxmlformats.org/officeDocument/2006/relationships/hyperlink" Target="http://www.sec.gov/Archives/edgar/data/797721/000109581100004805/a66909ex3-1.txt" TargetMode="External"/><Relationship Id="rId79" Type="http://schemas.openxmlformats.org/officeDocument/2006/relationships/hyperlink" Target="http://www.sec.gov/Archives/edgar/data/797721/000119312512490491/d447607dex31.htm" TargetMode="External"/><Relationship Id="rId80" Type="http://schemas.openxmlformats.org/officeDocument/2006/relationships/hyperlink" Target="http://www.sec.gov/Archives/edgar/data/797721/000119312517290459/d414724dex41.htm" TargetMode="External"/><Relationship Id="rId81" Type="http://schemas.openxmlformats.org/officeDocument/2006/relationships/hyperlink" Target="http://www.sec.gov/Archives/edgar/data/797721/000119312519088484/d727895dex41.htm" TargetMode="External"/><Relationship Id="rId82" Type="http://schemas.openxmlformats.org/officeDocument/2006/relationships/hyperlink" Target="http://www.sec.gov/Archives/edgar/data/797721/000119312520177667/d907562dex41.htm" TargetMode="External"/><Relationship Id="rId83" Type="http://schemas.openxmlformats.org/officeDocument/2006/relationships/hyperlink" Target="http://www.sec.gov/Archives/edgar/data/797721/000156459020027420/vsat-ex46_1091.htm" TargetMode="External"/><Relationship Id="rId84" Type="http://schemas.openxmlformats.org/officeDocument/2006/relationships/hyperlink" Target="http://www.sec.gov/Archives/edgar/data/797721/000093639208000182/a38834exv99w1.htm" TargetMode="External"/><Relationship Id="rId87" Type="http://schemas.openxmlformats.org/officeDocument/2006/relationships/hyperlink" Target="http://www.sec.gov/Archives/edgar/data/797721/000119312519289747/d823563dex107.htm" TargetMode="External"/><Relationship Id="rId88" Type="http://schemas.openxmlformats.org/officeDocument/2006/relationships/hyperlink" Target="http://www.sec.gov/Archives/edgar/data/797721/000119312520242264/d88063dex101.htm" TargetMode="External"/><Relationship Id="rId89" Type="http://schemas.openxmlformats.org/officeDocument/2006/relationships/hyperlink" Target="http://www.sec.gov/Archives/edgar/data/797721/000119312521145463/d42352dex102.htm" TargetMode="External"/><Relationship Id="rId90" Type="http://schemas.openxmlformats.org/officeDocument/2006/relationships/hyperlink" Target="http://www.sec.gov/Archives/edgar/data/797721/000119312515199042/d875350dex104.htm" TargetMode="External"/><Relationship Id="rId91" Type="http://schemas.openxmlformats.org/officeDocument/2006/relationships/hyperlink" Target="http://www.sec.gov/Archives/edgar/data/797721/000119312518036708/d493158dex101.htm" TargetMode="External"/><Relationship Id="rId92" Type="http://schemas.openxmlformats.org/officeDocument/2006/relationships/hyperlink" Target="http://www.sec.gov/Archives/edgar/data/797721/000119312517182146/d351569dex105.htm" TargetMode="External"/><Relationship Id="rId93" Type="http://schemas.openxmlformats.org/officeDocument/2006/relationships/hyperlink" Target="http://www.sec.gov/Archives/edgar/data/797721/000119312515199042/d875350dex106.htm" TargetMode="External"/><Relationship Id="rId94" Type="http://schemas.openxmlformats.org/officeDocument/2006/relationships/hyperlink" Target="http://www.sec.gov/Archives/edgar/data/797721/000119312515199042/d875350dex107.htm" TargetMode="External"/><Relationship Id="rId95" Type="http://schemas.openxmlformats.org/officeDocument/2006/relationships/hyperlink" Target="http://www.sec.gov/Archives/edgar/data/797721/000095012310071941/a56801exv10w1.htm" TargetMode="External"/><Relationship Id="rId96" Type="http://schemas.openxmlformats.org/officeDocument/2006/relationships/hyperlink" Target="http://www.sec.gov/Archives/edgar/data/797721/000119312513454965/d636795dex101.htm" TargetMode="External"/><Relationship Id="rId97" Type="http://schemas.openxmlformats.org/officeDocument/2006/relationships/hyperlink" Target="http://www.sec.gov/Archives/edgar/data/797721/000119312515089537/d887434dex102.htm" TargetMode="External"/><Relationship Id="rId98" Type="http://schemas.openxmlformats.org/officeDocument/2006/relationships/hyperlink" Target="http://www.sec.gov/Archives/edgar/data/797721/000119312516600648/d198247dex101.htm" TargetMode="External"/><Relationship Id="rId99" Type="http://schemas.openxmlformats.org/officeDocument/2006/relationships/hyperlink" Target="http://www.sec.gov/Archives/edgar/data/797721/000156459018014641/vsat-ex10103_745.htm" TargetMode="External"/><Relationship Id="rId100" Type="http://schemas.openxmlformats.org/officeDocument/2006/relationships/hyperlink" Target="http://www.sec.gov/Archives/edgar/data/797721/000119312519014040/d684351dex101.htm" TargetMode="External"/><Relationship Id="rId101" Type="http://schemas.openxmlformats.org/officeDocument/2006/relationships/hyperlink" Target="http://www.sec.gov/Archives/edgar/data/797721/000119312515089537/d887434dex101.htm" TargetMode="External"/><Relationship Id="rId104" Type="http://schemas.openxmlformats.org/officeDocument/2006/relationships/hyperlink" Target="http://www.sec.gov/Archives/edgar/data/797721/000119312515284965/d933025dex101.htm" TargetMode="External"/><Relationship Id="rId105" Type="http://schemas.openxmlformats.org/officeDocument/2006/relationships/hyperlink" Target="http://www.sec.gov/Archives/edgar/data/797721/000119312516516584/d152081dex101.htm" TargetMode="External"/><Relationship Id="rId106" Type="http://schemas.openxmlformats.org/officeDocument/2006/relationships/hyperlink" Target="http://www.sec.gov/Archives/edgar/data/797721/000119312516736730/d259569dex101.htm" TargetMode="External"/><Relationship Id="rId107" Type="http://schemas.openxmlformats.org/officeDocument/2006/relationships/hyperlink" Target="http://www.sec.gov/Archives/edgar/data/797721/000119312518223698/d548983dex101.htm" TargetMode="External"/><Relationship Id="rId108" Type="http://schemas.openxmlformats.org/officeDocument/2006/relationships/hyperlink" Target="http://www.sec.gov/Archives/edgar/data/797721/000119312519057936/d713677dex101.htm" TargetMode="External"/><Relationship Id="rId109" Type="http://schemas.openxmlformats.org/officeDocument/2006/relationships/hyperlink" Target="http://www.sec.gov/Archives/edgar/data/797721/000119312521145463/d42352dex103.htm" TargetMode="External"/><Relationship Id="rId110" Type="http://schemas.openxmlformats.org/officeDocument/2006/relationships/hyperlink" Target="http://www.sec.gov/Archives/edgar/data/797721/000119312521145463/d42352dex104.htm" TargetMode="External"/><Relationship Id="rId111" Type="http://schemas.openxmlformats.org/officeDocument/2006/relationships/hyperlink" Target="http://www.sec.gov/Archives/edgar/data/797721/000119312521145463/d42352dex105.htm" TargetMode="External"/><Relationship Id="rId112" Type="http://schemas.openxmlformats.org/officeDocument/2006/relationships/hyperlink" Target="http://www.sec.gov/Archives/edgar/data/797721/000119312521145463/d42352dex106.htm" TargetMode="External"/><Relationship Id="rId113" Type="http://schemas.openxmlformats.org/officeDocument/2006/relationships/hyperlink" Target="http://www.sec.gov/Archives/edgar/data/797721/000119312521145463/d42352dex107.htm" TargetMode="External"/><Relationship Id="rId114" Type="http://schemas.openxmlformats.org/officeDocument/2006/relationships/hyperlink" Target="http://www.sec.gov/Archives/edgar/data/797721/000119312521145463/d42352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2021-05-28T12:58:33Z</dcterms:created>
  <dcterms:modified xsi:type="dcterms:W3CDTF">2021-05-28T12:58:33Z</dcterms:modified>
</cp:coreProperties>
</file>