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Chandran Girish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CTO, SVP Engineering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2"/>
        <w:gridCol w:w="772"/>
        <w:gridCol w:w="599"/>
        <w:gridCol w:w="347"/>
        <w:gridCol w:w="926"/>
        <w:gridCol w:w="450"/>
        <w:gridCol w:w="752"/>
        <w:gridCol w:w="1156"/>
        <w:gridCol w:w="992"/>
        <w:gridCol w:w="10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15,620</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71,918</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8,427</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73.02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63,491</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5,756</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Spouse's 401(k)</w:t>
            </w:r>
          </w:p>
        </w:tc>
      </w:tr>
    </w:tbl>
    <w:tbl>
      <w:tblPr>
        <w:tblW w:w="120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46"/>
        <w:gridCol w:w="801"/>
        <w:gridCol w:w="801"/>
        <w:gridCol w:w="936"/>
        <w:gridCol w:w="831"/>
        <w:gridCol w:w="846"/>
      </w:tblGrid>
      <w:tr>
        <w:trPr>
          <w:tblHeader w:val="true"/>
        </w:trPr>
        <w:tc>
          <w:tcPr>
            <w:tcW w:w="120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original restricted stock unit grant was for 45,940 restricted stock units on 08/17/2025. The units vest and convert into shares of common stock (on a 1-for-1 basis) at the rate of 34% on September 17, 2026; 33% on June 7, 2027; and 33% on June 7,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Until vested, the restricted stock unit shall be subject to forfeiture in the event of termination of employment or service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6976"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3884</Characters>
  <CharactersWithSpaces>4525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