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158115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5"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76" w:lineRule="exact"/>
        <w:rPr>
          <w:sz w:val="24"/>
          <w:szCs w:val="24"/>
          <w:color w:val="auto"/>
        </w:rPr>
      </w:pPr>
    </w:p>
    <w:p>
      <w:pPr>
        <w:ind w:left="420" w:hanging="399"/>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20" w:hanging="399"/>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3540"/>
        <w:spacing w:after="0"/>
        <w:tabs>
          <w:tab w:leader="none" w:pos="6760" w:val="left"/>
          <w:tab w:leader="none" w:pos="7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157480</wp:posOffset>
            </wp:positionV>
            <wp:extent cx="1423035" cy="60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20"/>
        <w:spacing w:after="0"/>
        <w:rPr>
          <w:sz w:val="20"/>
          <w:szCs w:val="20"/>
          <w:color w:val="auto"/>
        </w:rPr>
      </w:pPr>
      <w:r>
        <w:rPr>
          <w:rFonts w:ascii="Arial" w:cs="Arial" w:eastAsia="Arial" w:hAnsi="Arial"/>
          <w:sz w:val="43"/>
          <w:szCs w:val="43"/>
          <w:b w:val="1"/>
          <w:bCs w:val="1"/>
          <w:color w:val="auto"/>
        </w:rPr>
        <w:t>VIASAT, INC.</w:t>
      </w:r>
    </w:p>
    <w:p>
      <w:pPr>
        <w:spacing w:after="0" w:line="3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143510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9" w:lineRule="exact"/>
        <w:rPr>
          <w:sz w:val="24"/>
          <w:szCs w:val="24"/>
          <w:color w:val="auto"/>
        </w:rPr>
      </w:pPr>
    </w:p>
    <w:tbl>
      <w:tblPr>
        <w:tblLayout w:type="fixed"/>
        <w:tblInd w:w="1780" w:type="dxa"/>
        <w:tblCellMar>
          <w:top w:w="0" w:type="dxa"/>
          <w:left w:w="0" w:type="dxa"/>
          <w:bottom w:w="0" w:type="dxa"/>
          <w:right w:w="0" w:type="dxa"/>
        </w:tblCellMar>
      </w:tblPr>
      <w:tr>
        <w:trPr>
          <w:trHeight w:val="212"/>
        </w:trPr>
        <w:tc>
          <w:tcPr>
            <w:tcW w:w="4060" w:type="dxa"/>
            <w:vAlign w:val="bottom"/>
          </w:tcPr>
          <w:p>
            <w:pPr>
              <w:jc w:val="center"/>
              <w:ind w:right="1902"/>
              <w:spacing w:after="0"/>
              <w:rPr>
                <w:sz w:val="20"/>
                <w:szCs w:val="20"/>
                <w:color w:val="auto"/>
              </w:rPr>
            </w:pPr>
            <w:r>
              <w:rPr>
                <w:rFonts w:ascii="Arial" w:cs="Arial" w:eastAsia="Arial" w:hAnsi="Arial"/>
                <w:sz w:val="18"/>
                <w:szCs w:val="18"/>
                <w:b w:val="1"/>
                <w:bCs w:val="1"/>
                <w:color w:val="auto"/>
              </w:rPr>
              <w:t>Delaware</w:t>
            </w:r>
          </w:p>
        </w:tc>
        <w:tc>
          <w:tcPr>
            <w:tcW w:w="3200" w:type="dxa"/>
            <w:vAlign w:val="bottom"/>
          </w:tcPr>
          <w:p>
            <w:pPr>
              <w:jc w:val="center"/>
              <w:ind w:left="1922"/>
              <w:spacing w:after="0"/>
              <w:rPr>
                <w:sz w:val="20"/>
                <w:szCs w:val="20"/>
                <w:color w:val="auto"/>
              </w:rPr>
            </w:pPr>
            <w:r>
              <w:rPr>
                <w:rFonts w:ascii="Arial" w:cs="Arial" w:eastAsia="Arial" w:hAnsi="Arial"/>
                <w:sz w:val="18"/>
                <w:szCs w:val="18"/>
                <w:b w:val="1"/>
                <w:bCs w:val="1"/>
                <w:color w:val="auto"/>
                <w:w w:val="99"/>
              </w:rPr>
              <w:t>33-0174996</w:t>
            </w:r>
          </w:p>
        </w:tc>
      </w:tr>
      <w:tr>
        <w:trPr>
          <w:trHeight w:val="149"/>
        </w:trPr>
        <w:tc>
          <w:tcPr>
            <w:tcW w:w="4060" w:type="dxa"/>
            <w:vAlign w:val="bottom"/>
          </w:tcPr>
          <w:p>
            <w:pPr>
              <w:jc w:val="center"/>
              <w:ind w:right="1922"/>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3200" w:type="dxa"/>
            <w:vAlign w:val="bottom"/>
          </w:tcPr>
          <w:p>
            <w:pPr>
              <w:jc w:val="center"/>
              <w:ind w:left="1902"/>
              <w:spacing w:after="0" w:line="149"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4060" w:type="dxa"/>
            <w:vAlign w:val="bottom"/>
          </w:tcPr>
          <w:p>
            <w:pPr>
              <w:jc w:val="center"/>
              <w:ind w:right="1922"/>
              <w:spacing w:after="0"/>
              <w:rPr>
                <w:sz w:val="20"/>
                <w:szCs w:val="20"/>
                <w:color w:val="auto"/>
              </w:rPr>
            </w:pPr>
            <w:r>
              <w:rPr>
                <w:rFonts w:ascii="Arial" w:cs="Arial" w:eastAsia="Arial" w:hAnsi="Arial"/>
                <w:sz w:val="14"/>
                <w:szCs w:val="14"/>
                <w:b w:val="1"/>
                <w:bCs w:val="1"/>
                <w:color w:val="auto"/>
              </w:rPr>
              <w:t>incorporation or organization)</w:t>
            </w:r>
          </w:p>
        </w:tc>
        <w:tc>
          <w:tcPr>
            <w:tcW w:w="3200" w:type="dxa"/>
            <w:vAlign w:val="bottom"/>
          </w:tcPr>
          <w:p>
            <w:pPr>
              <w:jc w:val="center"/>
              <w:ind w:left="1902"/>
              <w:spacing w:after="0"/>
              <w:rPr>
                <w:sz w:val="20"/>
                <w:szCs w:val="20"/>
                <w:color w:val="auto"/>
              </w:rPr>
            </w:pPr>
            <w:r>
              <w:rPr>
                <w:rFonts w:ascii="Arial" w:cs="Arial" w:eastAsia="Arial" w:hAnsi="Arial"/>
                <w:sz w:val="14"/>
                <w:szCs w:val="14"/>
                <w:b w:val="1"/>
                <w:bCs w:val="1"/>
                <w:color w:val="auto"/>
              </w:rPr>
              <w:t>Identification No.)</w:t>
            </w:r>
          </w:p>
        </w:tc>
      </w:tr>
    </w:tbl>
    <w:p>
      <w:pPr>
        <w:spacing w:after="0" w:line="15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6155 El Camino Real</w:t>
      </w:r>
    </w:p>
    <w:p>
      <w:pPr>
        <w:spacing w:after="0" w:line="1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Carlsbad, California 92009</w:t>
      </w:r>
    </w:p>
    <w:p>
      <w:pPr>
        <w:jc w:val="center"/>
        <w:ind w:right="40"/>
        <w:spacing w:after="0"/>
        <w:rPr>
          <w:sz w:val="20"/>
          <w:szCs w:val="20"/>
          <w:color w:val="auto"/>
        </w:rPr>
      </w:pPr>
      <w:r>
        <w:rPr>
          <w:rFonts w:ascii="Arial" w:cs="Arial" w:eastAsia="Arial" w:hAnsi="Arial"/>
          <w:sz w:val="18"/>
          <w:szCs w:val="18"/>
          <w:b w:val="1"/>
          <w:bCs w:val="1"/>
          <w:color w:val="auto"/>
        </w:rPr>
        <w:t>(760) 476-2200</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(Address of principal executive offices and telephone number)</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7"/>
                <w:szCs w:val="17"/>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17"/>
                <w:szCs w:val="17"/>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5"/>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Common Stock, par value $0.0001 per share</w:t>
            </w:r>
          </w:p>
        </w:tc>
        <w:tc>
          <w:tcPr>
            <w:tcW w:w="1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8"/>
              </w:rPr>
              <w:t>VSAT</w:t>
            </w: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rPr>
              <w:t>The Nasdaq Stock Market LLC</w:t>
            </w:r>
          </w:p>
        </w:tc>
      </w:tr>
    </w:tbl>
    <w:p>
      <w:pPr>
        <w:spacing w:after="0" w:line="158" w:lineRule="exact"/>
        <w:rPr>
          <w:sz w:val="24"/>
          <w:szCs w:val="24"/>
          <w:color w:val="auto"/>
        </w:rPr>
      </w:pPr>
    </w:p>
    <w:p>
      <w:pPr>
        <w:ind w:left="520"/>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w:t>
      </w:r>
    </w:p>
    <w:p>
      <w:pPr>
        <w:spacing w:after="0" w:line="214" w:lineRule="auto"/>
        <w:rPr>
          <w:sz w:val="20"/>
          <w:szCs w:val="20"/>
          <w:color w:val="auto"/>
        </w:rPr>
      </w:pPr>
      <w:r>
        <w:rPr>
          <w:rFonts w:ascii="Arial" w:cs="Arial" w:eastAsia="Arial" w:hAnsi="Arial"/>
          <w:sz w:val="18"/>
          <w:szCs w:val="18"/>
          <w:color w:val="auto"/>
        </w:rPr>
        <w:t>Exchange Act of 1934 during the preceding 12 months (or for such shorter period that the registrant was required to file such reports), and</w:t>
      </w:r>
    </w:p>
    <w:p>
      <w:pPr>
        <w:spacing w:after="0" w:line="207" w:lineRule="exact"/>
        <w:tabs>
          <w:tab w:leader="none" w:pos="5640" w:val="left"/>
          <w:tab w:leader="none" w:pos="6400" w:val="left"/>
          <w:tab w:leader="none" w:pos="67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67" w:lineRule="exact"/>
        <w:rPr>
          <w:sz w:val="24"/>
          <w:szCs w:val="24"/>
          <w:color w:val="auto"/>
        </w:rPr>
      </w:pPr>
    </w:p>
    <w:p>
      <w:pPr>
        <w:jc w:val="both"/>
        <w:ind w:right="660" w:firstLine="509"/>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3" w:lineRule="exact"/>
        <w:rPr>
          <w:sz w:val="24"/>
          <w:szCs w:val="24"/>
          <w:color w:val="auto"/>
        </w:rPr>
      </w:pPr>
    </w:p>
    <w:p>
      <w:pPr>
        <w:ind w:right="440" w:firstLine="509"/>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company,” and “emerging growth company” in Rule 12b-2 of the Exchange Act.</w:t>
      </w:r>
    </w:p>
    <w:p>
      <w:pPr>
        <w:spacing w:after="0" w:line="152"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1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0" w:type="dxa"/>
            <w:vAlign w:val="bottom"/>
          </w:tcPr>
          <w:p>
            <w:pPr>
              <w:ind w:left="284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560" w:firstLine="509"/>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280"/>
        <w:spacing w:after="0" w:line="26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outstanding of the registrant’s common stock, $0.0001 par value, as of October 21, 2022 was 75,586,954.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960" w:type="dxa"/>
            <w:vAlign w:val="bottom"/>
            <w:gridSpan w:val="10"/>
            <w:vMerge w:val="restart"/>
          </w:tcPr>
          <w:p>
            <w:pPr>
              <w:spacing w:after="0"/>
              <w:rPr>
                <w:sz w:val="20"/>
                <w:szCs w:val="20"/>
                <w:color w:val="auto"/>
              </w:rPr>
            </w:pPr>
            <w:r>
              <w:rPr>
                <w:rFonts w:ascii="Arial" w:cs="Arial" w:eastAsia="Arial" w:hAnsi="Arial"/>
                <w:sz w:val="18"/>
                <w:szCs w:val="18"/>
                <w:b w:val="1"/>
                <w:bCs w:val="1"/>
                <w:color w:val="0000FF"/>
                <w:w w:val="98"/>
              </w:rPr>
              <w:t>PART I. FINANCIAL INFORMATION</w:t>
            </w:r>
          </w:p>
        </w:tc>
        <w:tc>
          <w:tcPr>
            <w:tcW w:w="7360" w:type="dxa"/>
            <w:vAlign w:val="bottom"/>
            <w:gridSpan w:val="12"/>
            <w:vMerge w:val="restart"/>
          </w:tcPr>
          <w:p>
            <w:pPr>
              <w:spacing w:after="0"/>
              <w:rPr>
                <w:sz w:val="16"/>
                <w:szCs w:val="16"/>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2960" w:type="dxa"/>
            <w:vAlign w:val="bottom"/>
            <w:tcBorders>
              <w:bottom w:val="single" w:sz="8" w:color="0000FF"/>
            </w:tcBorders>
            <w:gridSpan w:val="10"/>
            <w:vMerge w:val="continue"/>
          </w:tcPr>
          <w:p>
            <w:pPr>
              <w:spacing w:after="0"/>
              <w:rPr>
                <w:sz w:val="14"/>
                <w:szCs w:val="14"/>
                <w:color w:val="auto"/>
              </w:rPr>
            </w:pPr>
          </w:p>
        </w:tc>
        <w:tc>
          <w:tcPr>
            <w:tcW w:w="7360" w:type="dxa"/>
            <w:vAlign w:val="bottom"/>
            <w:gridSpan w:val="12"/>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9"/>
              </w:rPr>
              <w:t>Item 1. Financial Statements (Unaudited)</w:t>
            </w:r>
          </w:p>
        </w:tc>
        <w:tc>
          <w:tcPr>
            <w:tcW w:w="20" w:type="dxa"/>
            <w:vAlign w:val="bottom"/>
            <w:tcBorders>
              <w:bottom w:val="single" w:sz="8" w:color="0000EE"/>
            </w:tcBorders>
          </w:tcPr>
          <w:p>
            <w:pPr>
              <w:spacing w:after="0"/>
              <w:rPr>
                <w:sz w:val="17"/>
                <w:szCs w:val="17"/>
                <w:color w:val="auto"/>
              </w:rPr>
            </w:pPr>
          </w:p>
        </w:tc>
        <w:tc>
          <w:tcPr>
            <w:tcW w:w="7020" w:type="dxa"/>
            <w:vAlign w:val="bottom"/>
            <w:gridSpan w:val="10"/>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40" w:type="dxa"/>
            <w:vAlign w:val="bottom"/>
            <w:tcBorders>
              <w:bottom w:val="single" w:sz="8" w:color="0000FF"/>
            </w:tcBorders>
            <w:gridSpan w:val="12"/>
          </w:tcPr>
          <w:p>
            <w:pPr>
              <w:spacing w:after="0" w:line="196" w:lineRule="exact"/>
              <w:rPr>
                <w:sz w:val="20"/>
                <w:szCs w:val="20"/>
                <w:color w:val="auto"/>
              </w:rPr>
            </w:pPr>
            <w:r>
              <w:rPr>
                <w:rFonts w:ascii="Arial" w:cs="Arial" w:eastAsia="Arial" w:hAnsi="Arial"/>
                <w:sz w:val="18"/>
                <w:szCs w:val="18"/>
                <w:color w:val="0000FF"/>
                <w:w w:val="99"/>
              </w:rPr>
              <w:t>Condensed Consolidated Balance Sheets</w:t>
            </w:r>
          </w:p>
        </w:tc>
        <w:tc>
          <w:tcPr>
            <w:tcW w:w="20" w:type="dxa"/>
            <w:vAlign w:val="bottom"/>
            <w:tcBorders>
              <w:bottom w:val="single" w:sz="8" w:color="0000EE"/>
            </w:tcBorders>
          </w:tcPr>
          <w:p>
            <w:pPr>
              <w:spacing w:after="0"/>
              <w:rPr>
                <w:sz w:val="17"/>
                <w:szCs w:val="17"/>
                <w:color w:val="auto"/>
              </w:rPr>
            </w:pPr>
          </w:p>
        </w:tc>
        <w:tc>
          <w:tcPr>
            <w:tcW w:w="6520" w:type="dxa"/>
            <w:vAlign w:val="bottom"/>
            <w:gridSpan w:val="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80" w:type="dxa"/>
            <w:vAlign w:val="bottom"/>
            <w:gridSpan w:val="21"/>
          </w:tcPr>
          <w:p>
            <w:pPr>
              <w:spacing w:after="0" w:line="196" w:lineRule="exact"/>
              <w:rPr>
                <w:sz w:val="20"/>
                <w:szCs w:val="20"/>
                <w:color w:val="auto"/>
              </w:rPr>
            </w:pPr>
            <w:r>
              <w:rPr>
                <w:rFonts w:ascii="Arial" w:cs="Arial" w:eastAsia="Arial" w:hAnsi="Arial"/>
                <w:sz w:val="18"/>
                <w:szCs w:val="18"/>
                <w:color w:val="0000FF"/>
              </w:rPr>
              <w:t>Condensed Consolidated Statements of Operations and Comprehensive Income (Loss)</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80" w:type="dxa"/>
            <w:vAlign w:val="bottom"/>
            <w:tcBorders>
              <w:top w:val="single" w:sz="8" w:color="0000FF"/>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99"/>
              </w:rPr>
              <w:t>Condensed Consolidated Statements of Cash Flows</w:t>
            </w:r>
          </w:p>
        </w:tc>
        <w:tc>
          <w:tcPr>
            <w:tcW w:w="2780" w:type="dxa"/>
            <w:vAlign w:val="bottom"/>
            <w:tcBorders>
              <w:top w:val="single" w:sz="8" w:color="0000FF"/>
            </w:tcBorders>
            <w:gridSpan w:val="4"/>
          </w:tcPr>
          <w:p>
            <w:pPr>
              <w:spacing w:after="0"/>
              <w:rPr>
                <w:sz w:val="17"/>
                <w:szCs w:val="17"/>
                <w:color w:val="auto"/>
              </w:rPr>
            </w:pPr>
          </w:p>
        </w:tc>
        <w:tc>
          <w:tcPr>
            <w:tcW w:w="292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40" w:type="dxa"/>
            <w:vAlign w:val="bottom"/>
            <w:tcBorders>
              <w:bottom w:val="single" w:sz="8" w:color="0000FF"/>
            </w:tcBorders>
            <w:gridSpan w:val="14"/>
          </w:tcPr>
          <w:p>
            <w:pPr>
              <w:spacing w:after="0" w:line="196" w:lineRule="exact"/>
              <w:rPr>
                <w:sz w:val="20"/>
                <w:szCs w:val="20"/>
                <w:color w:val="auto"/>
              </w:rPr>
            </w:pPr>
            <w:r>
              <w:rPr>
                <w:rFonts w:ascii="Arial" w:cs="Arial" w:eastAsia="Arial" w:hAnsi="Arial"/>
                <w:sz w:val="18"/>
                <w:szCs w:val="18"/>
                <w:color w:val="0000FF"/>
                <w:w w:val="99"/>
              </w:rPr>
              <w:t>Condensed Consolidated Statements of Equity</w:t>
            </w:r>
          </w:p>
        </w:tc>
        <w:tc>
          <w:tcPr>
            <w:tcW w:w="6140" w:type="dxa"/>
            <w:vAlign w:val="bottom"/>
            <w:gridSpan w:val="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80" w:type="dxa"/>
            <w:vAlign w:val="bottom"/>
            <w:tcBorders>
              <w:bottom w:val="single" w:sz="8" w:color="0000FF"/>
            </w:tcBorders>
            <w:gridSpan w:val="16"/>
          </w:tcPr>
          <w:p>
            <w:pPr>
              <w:spacing w:after="0" w:line="196" w:lineRule="exact"/>
              <w:rPr>
                <w:sz w:val="20"/>
                <w:szCs w:val="20"/>
                <w:color w:val="auto"/>
              </w:rPr>
            </w:pPr>
            <w:r>
              <w:rPr>
                <w:rFonts w:ascii="Arial" w:cs="Arial" w:eastAsia="Arial" w:hAnsi="Arial"/>
                <w:sz w:val="18"/>
                <w:szCs w:val="18"/>
                <w:color w:val="0000FF"/>
                <w:w w:val="99"/>
              </w:rPr>
              <w:t>Notes to the Condensed Consolidated Financial Statements</w:t>
            </w:r>
          </w:p>
        </w:tc>
        <w:tc>
          <w:tcPr>
            <w:tcW w:w="20" w:type="dxa"/>
            <w:vAlign w:val="bottom"/>
            <w:tcBorders>
              <w:bottom w:val="single" w:sz="8" w:color="0000EE"/>
            </w:tcBorders>
          </w:tcPr>
          <w:p>
            <w:pPr>
              <w:spacing w:after="0"/>
              <w:rPr>
                <w:sz w:val="17"/>
                <w:szCs w:val="17"/>
                <w:color w:val="auto"/>
              </w:rPr>
            </w:pPr>
          </w:p>
        </w:tc>
        <w:tc>
          <w:tcPr>
            <w:tcW w:w="5080" w:type="dxa"/>
            <w:vAlign w:val="bottom"/>
            <w:gridSpan w:val="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7680" w:type="dxa"/>
            <w:vAlign w:val="bottom"/>
            <w:tcBorders>
              <w:bottom w:val="single" w:sz="8" w:color="0000FF"/>
            </w:tcBorders>
            <w:gridSpan w:val="21"/>
          </w:tcPr>
          <w:p>
            <w:pPr>
              <w:spacing w:after="0" w:line="196" w:lineRule="exact"/>
              <w:rPr>
                <w:sz w:val="20"/>
                <w:szCs w:val="20"/>
                <w:color w:val="auto"/>
              </w:rPr>
            </w:pPr>
            <w:r>
              <w:rPr>
                <w:rFonts w:ascii="Arial" w:cs="Arial" w:eastAsia="Arial" w:hAnsi="Arial"/>
                <w:sz w:val="18"/>
                <w:szCs w:val="18"/>
                <w:color w:val="0000FF"/>
                <w:w w:val="99"/>
              </w:rPr>
              <w:t>Item 2. Management’s Discussion and Analysis of Financial Condition and Results of Operations</w:t>
            </w:r>
          </w:p>
        </w:tc>
        <w:tc>
          <w:tcPr>
            <w:tcW w:w="26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58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rPr>
              <w:t>Item 3.</w:t>
            </w:r>
          </w:p>
        </w:tc>
        <w:tc>
          <w:tcPr>
            <w:tcW w:w="4740" w:type="dxa"/>
            <w:vAlign w:val="bottom"/>
            <w:tcBorders>
              <w:bottom w:val="single" w:sz="8" w:color="0000FF"/>
            </w:tcBorders>
            <w:gridSpan w:val="17"/>
          </w:tcPr>
          <w:p>
            <w:pPr>
              <w:ind w:left="20"/>
              <w:spacing w:after="0" w:line="196"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500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58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rPr>
              <w:t>Item 4.</w:t>
            </w:r>
          </w:p>
        </w:tc>
        <w:tc>
          <w:tcPr>
            <w:tcW w:w="2020" w:type="dxa"/>
            <w:vAlign w:val="bottom"/>
            <w:tcBorders>
              <w:bottom w:val="single" w:sz="8" w:color="0000FF"/>
            </w:tcBorders>
            <w:gridSpan w:val="5"/>
          </w:tcPr>
          <w:p>
            <w:pPr>
              <w:ind w:left="20"/>
              <w:spacing w:after="0" w:line="196" w:lineRule="exact"/>
              <w:rPr>
                <w:sz w:val="20"/>
                <w:szCs w:val="20"/>
                <w:color w:val="auto"/>
              </w:rPr>
            </w:pPr>
            <w:r>
              <w:rPr>
                <w:rFonts w:ascii="Arial" w:cs="Arial" w:eastAsia="Arial" w:hAnsi="Arial"/>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700" w:type="dxa"/>
            <w:vAlign w:val="bottom"/>
            <w:gridSpan w:val="1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20" w:type="dxa"/>
            <w:vAlign w:val="bottom"/>
            <w:gridSpan w:val="22"/>
          </w:tcPr>
          <w:p>
            <w:pPr>
              <w:spacing w:after="0" w:line="196" w:lineRule="exact"/>
              <w:rPr>
                <w:sz w:val="20"/>
                <w:szCs w:val="20"/>
                <w:color w:val="auto"/>
              </w:rPr>
            </w:pPr>
            <w:r>
              <w:rPr>
                <w:rFonts w:ascii="Arial" w:cs="Arial" w:eastAsia="Arial" w:hAnsi="Arial"/>
                <w:sz w:val="18"/>
                <w:szCs w:val="18"/>
                <w:b w:val="1"/>
                <w:bCs w:val="1"/>
                <w:color w:val="0000FF"/>
              </w:rPr>
              <w:t>PART II. OTHER INFORMATION</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EE"/>
              <w:bottom w:val="single" w:sz="8" w:color="0000EE"/>
            </w:tcBorders>
          </w:tcPr>
          <w:p>
            <w:pPr>
              <w:spacing w:after="0"/>
              <w:rPr>
                <w:sz w:val="17"/>
                <w:szCs w:val="17"/>
                <w:color w:val="auto"/>
              </w:rPr>
            </w:pPr>
          </w:p>
        </w:tc>
        <w:tc>
          <w:tcPr>
            <w:tcW w:w="580" w:type="dxa"/>
            <w:vAlign w:val="bottom"/>
            <w:tcBorders>
              <w:top w:val="single" w:sz="8" w:color="0000FF"/>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rPr>
              <w:t>Item 1.</w:t>
            </w:r>
          </w:p>
        </w:tc>
        <w:tc>
          <w:tcPr>
            <w:tcW w:w="1520" w:type="dxa"/>
            <w:vAlign w:val="bottom"/>
            <w:tcBorders>
              <w:top w:val="single" w:sz="8" w:color="0000FF"/>
              <w:bottom w:val="single" w:sz="8" w:color="0000FF"/>
            </w:tcBorders>
            <w:gridSpan w:val="4"/>
          </w:tcPr>
          <w:p>
            <w:pPr>
              <w:ind w:left="20"/>
              <w:spacing w:after="0" w:line="196" w:lineRule="exact"/>
              <w:rPr>
                <w:sz w:val="20"/>
                <w:szCs w:val="20"/>
                <w:color w:val="auto"/>
              </w:rPr>
            </w:pPr>
            <w:r>
              <w:rPr>
                <w:rFonts w:ascii="Arial" w:cs="Arial" w:eastAsia="Arial" w:hAnsi="Arial"/>
                <w:sz w:val="18"/>
                <w:szCs w:val="18"/>
                <w:color w:val="0000FF"/>
                <w:w w:val="99"/>
              </w:rPr>
              <w:t>Legal Proceedings</w:t>
            </w:r>
          </w:p>
        </w:tc>
        <w:tc>
          <w:tcPr>
            <w:tcW w:w="560" w:type="dxa"/>
            <w:vAlign w:val="bottom"/>
            <w:tcBorders>
              <w:top w:val="single" w:sz="8" w:color="0000FF"/>
            </w:tcBorders>
            <w:gridSpan w:val="3"/>
          </w:tcPr>
          <w:p>
            <w:pPr>
              <w:spacing w:after="0"/>
              <w:rPr>
                <w:sz w:val="17"/>
                <w:szCs w:val="17"/>
                <w:color w:val="auto"/>
              </w:rPr>
            </w:pPr>
          </w:p>
        </w:tc>
        <w:tc>
          <w:tcPr>
            <w:tcW w:w="7660" w:type="dxa"/>
            <w:vAlign w:val="bottom"/>
            <w:gridSpan w:val="1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20" w:type="dxa"/>
            <w:vAlign w:val="bottom"/>
            <w:gridSpan w:val="22"/>
          </w:tcPr>
          <w:p>
            <w:pPr>
              <w:spacing w:after="0" w:line="196" w:lineRule="exact"/>
              <w:rPr>
                <w:sz w:val="20"/>
                <w:szCs w:val="20"/>
                <w:color w:val="auto"/>
              </w:rPr>
            </w:pPr>
            <w:r>
              <w:rPr>
                <w:rFonts w:ascii="Arial" w:cs="Arial" w:eastAsia="Arial" w:hAnsi="Arial"/>
                <w:sz w:val="18"/>
                <w:szCs w:val="18"/>
                <w:color w:val="0000FF"/>
              </w:rPr>
              <w:t>Item 1A. Risk Factors</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20" w:type="dxa"/>
            <w:vAlign w:val="bottom"/>
            <w:tcBorders>
              <w:top w:val="single" w:sz="8" w:color="0000EE"/>
              <w:bottom w:val="single" w:sz="8" w:color="0000EE"/>
            </w:tcBorders>
          </w:tcPr>
          <w:p>
            <w:pPr>
              <w:spacing w:after="0"/>
              <w:rPr>
                <w:sz w:val="17"/>
                <w:szCs w:val="17"/>
                <w:color w:val="auto"/>
              </w:rPr>
            </w:pPr>
          </w:p>
        </w:tc>
        <w:tc>
          <w:tcPr>
            <w:tcW w:w="580" w:type="dxa"/>
            <w:vAlign w:val="bottom"/>
            <w:tcBorders>
              <w:top w:val="single" w:sz="8" w:color="0000FF"/>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rPr>
              <w:t>Item 6.</w:t>
            </w:r>
          </w:p>
        </w:tc>
        <w:tc>
          <w:tcPr>
            <w:tcW w:w="660" w:type="dxa"/>
            <w:vAlign w:val="bottom"/>
            <w:tcBorders>
              <w:top w:val="single" w:sz="8" w:color="0000FF"/>
              <w:bottom w:val="single" w:sz="8" w:color="0000FF"/>
            </w:tcBorders>
            <w:gridSpan w:val="2"/>
          </w:tcPr>
          <w:p>
            <w:pPr>
              <w:ind w:left="20"/>
              <w:spacing w:after="0" w:line="196" w:lineRule="exact"/>
              <w:rPr>
                <w:sz w:val="20"/>
                <w:szCs w:val="20"/>
                <w:color w:val="auto"/>
              </w:rPr>
            </w:pPr>
            <w:r>
              <w:rPr>
                <w:rFonts w:ascii="Arial" w:cs="Arial" w:eastAsia="Arial" w:hAnsi="Arial"/>
                <w:sz w:val="18"/>
                <w:szCs w:val="18"/>
                <w:color w:val="0000FF"/>
                <w:w w:val="98"/>
              </w:rPr>
              <w:t>Exhibits</w:t>
            </w:r>
          </w:p>
        </w:tc>
        <w:tc>
          <w:tcPr>
            <w:tcW w:w="480" w:type="dxa"/>
            <w:vAlign w:val="bottom"/>
            <w:tcBorders>
              <w:top w:val="single" w:sz="8" w:color="0000FF"/>
            </w:tcBorders>
          </w:tcPr>
          <w:p>
            <w:pPr>
              <w:spacing w:after="0"/>
              <w:rPr>
                <w:sz w:val="17"/>
                <w:szCs w:val="17"/>
                <w:color w:val="auto"/>
              </w:rPr>
            </w:pPr>
          </w:p>
        </w:tc>
        <w:tc>
          <w:tcPr>
            <w:tcW w:w="8600" w:type="dxa"/>
            <w:vAlign w:val="bottom"/>
            <w:gridSpan w:val="1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20" w:type="dxa"/>
            <w:vAlign w:val="bottom"/>
            <w:gridSpan w:val="22"/>
          </w:tcPr>
          <w:p>
            <w:pPr>
              <w:spacing w:after="0" w:line="196" w:lineRule="exact"/>
              <w:rPr>
                <w:sz w:val="20"/>
                <w:szCs w:val="20"/>
                <w:color w:val="auto"/>
              </w:rPr>
            </w:pPr>
            <w:r>
              <w:rPr>
                <w:rFonts w:ascii="Arial" w:cs="Arial" w:eastAsia="Arial" w:hAnsi="Arial"/>
                <w:sz w:val="18"/>
                <w:szCs w:val="18"/>
                <w:color w:val="0000FF"/>
              </w:rPr>
              <w:t>Signatures</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540" w:type="dxa"/>
            <w:vAlign w:val="bottom"/>
            <w:gridSpan w:val="17"/>
          </w:tcPr>
          <w:p>
            <w:pPr>
              <w:jc w:val="right"/>
              <w:ind w:right="174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6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right"/>
              <w:ind w:right="928"/>
              <w:spacing w:after="0"/>
              <w:rPr>
                <w:sz w:val="20"/>
                <w:szCs w:val="20"/>
                <w:color w:val="auto"/>
              </w:rPr>
            </w:pPr>
            <w:r>
              <w:rPr>
                <w:rFonts w:ascii="Arial" w:cs="Arial" w:eastAsia="Arial" w:hAnsi="Arial"/>
                <w:sz w:val="14"/>
                <w:szCs w:val="14"/>
                <w:b w:val="1"/>
                <w:bCs w:val="1"/>
                <w:color w:val="auto"/>
              </w:rPr>
              <w:t>As of</w:t>
            </w:r>
          </w:p>
        </w:tc>
        <w:tc>
          <w:tcPr>
            <w:tcW w:w="380" w:type="dxa"/>
            <w:vAlign w:val="bottom"/>
          </w:tcPr>
          <w:p>
            <w:pPr>
              <w:spacing w:after="0"/>
              <w:rPr>
                <w:sz w:val="14"/>
                <w:szCs w:val="14"/>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As of</w:t>
            </w:r>
          </w:p>
        </w:tc>
      </w:tr>
      <w:tr>
        <w:trPr>
          <w:trHeight w:val="189"/>
        </w:trPr>
        <w:tc>
          <w:tcPr>
            <w:tcW w:w="7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September 30, 2022</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r>
      <w:tr>
        <w:trPr>
          <w:trHeight w:val="169"/>
        </w:trPr>
        <w:tc>
          <w:tcPr>
            <w:tcW w:w="7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jc w:val="right"/>
              <w:ind w:right="92"/>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thousands)</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260" w:type="dxa"/>
            <w:vAlign w:val="bottom"/>
            <w:shd w:val="clear" w:color="auto" w:fill="CFF0FC"/>
          </w:tcPr>
          <w:p>
            <w:pPr>
              <w:ind w:left="318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149,172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310,459</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320,249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312,172</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244,284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197,864</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148,122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141,386</w:t>
            </w:r>
          </w:p>
        </w:tc>
        <w:tc>
          <w:tcPr>
            <w:tcW w:w="100" w:type="dxa"/>
            <w:vAlign w:val="bottom"/>
          </w:tcPr>
          <w:p>
            <w:pPr>
              <w:spacing w:after="0"/>
              <w:rPr>
                <w:sz w:val="18"/>
                <w:szCs w:val="18"/>
                <w:color w:val="auto"/>
              </w:rPr>
            </w:pPr>
          </w:p>
        </w:tc>
      </w:tr>
      <w:tr>
        <w:trPr>
          <w:trHeight w:val="216"/>
        </w:trPr>
        <w:tc>
          <w:tcPr>
            <w:tcW w:w="72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Current assets of discontinued operations</w:t>
            </w:r>
          </w:p>
        </w:tc>
        <w:tc>
          <w:tcPr>
            <w:tcW w:w="1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285,249</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26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1,147,076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1,159,472</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0"/>
              <w:spacing w:after="0"/>
              <w:rPr>
                <w:sz w:val="20"/>
                <w:szCs w:val="20"/>
                <w:color w:val="auto"/>
              </w:rPr>
            </w:pPr>
            <w:r>
              <w:rPr>
                <w:rFonts w:ascii="Arial" w:cs="Arial" w:eastAsia="Arial" w:hAnsi="Arial"/>
                <w:sz w:val="18"/>
                <w:szCs w:val="18"/>
                <w:color w:val="auto"/>
              </w:rPr>
              <w:t>Property, equipment and satellites, net</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4,002,742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3,704,991</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317,921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343,339</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0"/>
              <w:spacing w:after="0"/>
              <w:rPr>
                <w:sz w:val="20"/>
                <w:szCs w:val="20"/>
                <w:color w:val="auto"/>
              </w:rPr>
            </w:pPr>
            <w:r>
              <w:rPr>
                <w:rFonts w:ascii="Arial" w:cs="Arial" w:eastAsia="Arial" w:hAnsi="Arial"/>
                <w:sz w:val="18"/>
                <w:szCs w:val="18"/>
                <w:color w:val="auto"/>
              </w:rPr>
              <w:t>Other acquired intangible assets, net</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211,273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236,043</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162,003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168,710</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669,265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699,280</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assets of discontinued operations</w:t>
            </w:r>
          </w:p>
        </w:tc>
        <w:tc>
          <w:tcPr>
            <w:tcW w:w="1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77,511</w:t>
            </w:r>
          </w:p>
        </w:tc>
        <w:tc>
          <w:tcPr>
            <w:tcW w:w="100" w:type="dxa"/>
            <w:vAlign w:val="bottom"/>
            <w:shd w:val="clear" w:color="auto" w:fill="CFF0FC"/>
          </w:tcPr>
          <w:p>
            <w:pPr>
              <w:spacing w:after="0"/>
              <w:rPr>
                <w:sz w:val="18"/>
                <w:szCs w:val="18"/>
                <w:color w:val="auto"/>
              </w:rPr>
            </w:pPr>
          </w:p>
        </w:tc>
      </w:tr>
      <w:tr>
        <w:trPr>
          <w:trHeight w:val="209"/>
        </w:trPr>
        <w:tc>
          <w:tcPr>
            <w:tcW w:w="726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6,510,280</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6,389,346</w:t>
            </w:r>
          </w:p>
        </w:tc>
        <w:tc>
          <w:tcPr>
            <w:tcW w:w="100" w:type="dxa"/>
            <w:vAlign w:val="bottom"/>
            <w:tcBorders>
              <w:top w:val="single" w:sz="8" w:color="CFF0FC"/>
            </w:tcBorders>
          </w:tcPr>
          <w:p>
            <w:pPr>
              <w:spacing w:after="0"/>
              <w:rPr>
                <w:sz w:val="18"/>
                <w:szCs w:val="18"/>
                <w:color w:val="auto"/>
              </w:rPr>
            </w:pPr>
          </w:p>
        </w:tc>
      </w:tr>
      <w:tr>
        <w:trPr>
          <w:trHeight w:val="20"/>
        </w:trPr>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260" w:type="dxa"/>
            <w:vAlign w:val="bottom"/>
            <w:shd w:val="clear" w:color="auto" w:fill="CFF0FC"/>
          </w:tcPr>
          <w:p>
            <w:pPr>
              <w:ind w:left="244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244,917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200,673</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80"/>
              <w:spacing w:after="0"/>
              <w:rPr>
                <w:sz w:val="20"/>
                <w:szCs w:val="20"/>
                <w:color w:val="auto"/>
              </w:rPr>
            </w:pPr>
            <w:r>
              <w:rPr>
                <w:rFonts w:ascii="Arial" w:cs="Arial" w:eastAsia="Arial" w:hAnsi="Arial"/>
                <w:sz w:val="18"/>
                <w:szCs w:val="18"/>
                <w:color w:val="auto"/>
              </w:rPr>
              <w:t>Accrued and other liabilities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452,644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482,564</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38,577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34,911</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80"/>
              <w:spacing w:after="0"/>
              <w:rPr>
                <w:sz w:val="20"/>
                <w:szCs w:val="20"/>
                <w:color w:val="auto"/>
              </w:rPr>
            </w:pPr>
            <w:r>
              <w:rPr>
                <w:rFonts w:ascii="Arial" w:cs="Arial" w:eastAsia="Arial" w:hAnsi="Arial"/>
                <w:sz w:val="18"/>
                <w:szCs w:val="18"/>
                <w:color w:val="auto"/>
              </w:rPr>
              <w:t>Current liabilities of discontinued operations</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67,484</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52,273</w:t>
            </w:r>
          </w:p>
        </w:tc>
        <w:tc>
          <w:tcPr>
            <w:tcW w:w="100" w:type="dxa"/>
            <w:vAlign w:val="bottom"/>
          </w:tcPr>
          <w:p>
            <w:pPr>
              <w:spacing w:after="0"/>
              <w:rPr>
                <w:sz w:val="18"/>
                <w:szCs w:val="18"/>
                <w:color w:val="auto"/>
              </w:rPr>
            </w:pPr>
          </w:p>
        </w:tc>
      </w:tr>
      <w:tr>
        <w:trPr>
          <w:trHeight w:val="209"/>
        </w:trPr>
        <w:tc>
          <w:tcPr>
            <w:tcW w:w="7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803,622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770,421</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w:t>
            </w: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1,687,705</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1,686,225</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0"/>
              <w:spacing w:after="0"/>
              <w:rPr>
                <w:sz w:val="20"/>
                <w:szCs w:val="20"/>
                <w:color w:val="auto"/>
              </w:rPr>
            </w:pPr>
            <w:r>
              <w:rPr>
                <w:rFonts w:ascii="Arial" w:cs="Arial" w:eastAsia="Arial" w:hAnsi="Arial"/>
                <w:sz w:val="18"/>
                <w:szCs w:val="18"/>
                <w:color w:val="auto"/>
              </w:rPr>
              <w:t>Other long-term debt</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959,274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764,991</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289,746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316,178</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141,742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153,156</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liabilities of discontinued operations</w:t>
            </w:r>
          </w:p>
        </w:tc>
        <w:tc>
          <w:tcPr>
            <w:tcW w:w="1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15,781</w:t>
            </w:r>
          </w:p>
        </w:tc>
        <w:tc>
          <w:tcPr>
            <w:tcW w:w="100" w:type="dxa"/>
            <w:vAlign w:val="bottom"/>
            <w:shd w:val="clear" w:color="auto" w:fill="CFF0FC"/>
          </w:tcPr>
          <w:p>
            <w:pPr>
              <w:spacing w:after="0"/>
              <w:rPr>
                <w:sz w:val="18"/>
                <w:szCs w:val="18"/>
                <w:color w:val="auto"/>
              </w:rPr>
            </w:pPr>
          </w:p>
        </w:tc>
      </w:tr>
      <w:tr>
        <w:trPr>
          <w:trHeight w:val="210"/>
        </w:trPr>
        <w:tc>
          <w:tcPr>
            <w:tcW w:w="726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3,882,089</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3,706,752</w:t>
            </w:r>
          </w:p>
        </w:tc>
        <w:tc>
          <w:tcPr>
            <w:tcW w:w="100" w:type="dxa"/>
            <w:vAlign w:val="bottom"/>
            <w:tcBorders>
              <w:top w:val="single" w:sz="8" w:color="CFF0FC"/>
            </w:tcBorders>
          </w:tcPr>
          <w:p>
            <w:pPr>
              <w:spacing w:after="0"/>
              <w:rPr>
                <w:sz w:val="18"/>
                <w:szCs w:val="18"/>
                <w:color w:val="auto"/>
              </w:rPr>
            </w:pPr>
          </w:p>
        </w:tc>
      </w:tr>
      <w:tr>
        <w:trPr>
          <w:trHeight w:val="210"/>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Viasat, Inc. stockholders’ equity</w:t>
            </w: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Paid-in capital</w:t>
            </w: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2,496,783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2,421,950</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163,726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233,530</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(63,957 )</w:t>
            </w:r>
          </w:p>
        </w:tc>
        <w:tc>
          <w:tcPr>
            <w:tcW w:w="3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(21,621 )</w:t>
            </w:r>
          </w:p>
        </w:tc>
      </w:tr>
      <w:tr>
        <w:trPr>
          <w:trHeight w:val="210"/>
        </w:trPr>
        <w:tc>
          <w:tcPr>
            <w:tcW w:w="726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Total Viasat, Inc. stockholders’ equity</w:t>
            </w: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2,596,560</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2,633,866</w:t>
            </w:r>
          </w:p>
        </w:tc>
        <w:tc>
          <w:tcPr>
            <w:tcW w:w="100" w:type="dxa"/>
            <w:vAlign w:val="bottom"/>
            <w:tcBorders>
              <w:top w:val="single" w:sz="8" w:color="CFF0FC"/>
            </w:tcBorders>
          </w:tcPr>
          <w:p>
            <w:pPr>
              <w:spacing w:after="0"/>
              <w:rPr>
                <w:sz w:val="18"/>
                <w:szCs w:val="18"/>
                <w:color w:val="auto"/>
              </w:rPr>
            </w:pPr>
          </w:p>
        </w:tc>
      </w:tr>
      <w:tr>
        <w:trPr>
          <w:trHeight w:val="216"/>
        </w:trPr>
        <w:tc>
          <w:tcPr>
            <w:tcW w:w="7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Noncontrolling interest in subsidiary</w:t>
            </w:r>
          </w:p>
        </w:tc>
        <w:tc>
          <w:tcPr>
            <w:tcW w:w="1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31,631</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60" w:type="dxa"/>
            <w:vAlign w:val="bottom"/>
          </w:tcPr>
          <w:p>
            <w:pPr>
              <w:ind w:left="5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2,628,191</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2,682,594</w:t>
            </w:r>
          </w:p>
        </w:tc>
        <w:tc>
          <w:tcPr>
            <w:tcW w:w="100" w:type="dxa"/>
            <w:vAlign w:val="bottom"/>
          </w:tcPr>
          <w:p>
            <w:pPr>
              <w:spacing w:after="0"/>
              <w:rPr>
                <w:sz w:val="18"/>
                <w:szCs w:val="18"/>
                <w:color w:val="auto"/>
              </w:rPr>
            </w:pPr>
          </w:p>
        </w:tc>
      </w:tr>
      <w:tr>
        <w:trPr>
          <w:trHeight w:val="250"/>
        </w:trPr>
        <w:tc>
          <w:tcPr>
            <w:tcW w:w="72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6,510,280</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6,389,346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-4782820</wp:posOffset>
            </wp:positionV>
            <wp:extent cx="6858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-4782820</wp:posOffset>
            </wp:positionV>
            <wp:extent cx="6858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-3676650</wp:posOffset>
            </wp:positionV>
            <wp:extent cx="685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-1713865</wp:posOffset>
            </wp:positionV>
            <wp:extent cx="6858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-599440</wp:posOffset>
            </wp:positionV>
            <wp:extent cx="6858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-316865</wp:posOffset>
            </wp:positionV>
            <wp:extent cx="685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 w:name="page4"/>
    <w:bookmarkEnd w:id="3"/>
    <w:p>
      <w:pPr>
        <w:ind w:left="5060"/>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40"/>
        <w:spacing w:after="0" w:line="234" w:lineRule="auto"/>
        <w:rPr>
          <w:sz w:val="20"/>
          <w:szCs w:val="20"/>
          <w:color w:val="auto"/>
        </w:rPr>
      </w:pPr>
      <w:r>
        <w:rPr>
          <w:rFonts w:ascii="Arial" w:cs="Arial" w:eastAsia="Arial" w:hAnsi="Arial"/>
          <w:sz w:val="18"/>
          <w:szCs w:val="18"/>
          <w:b w:val="1"/>
          <w:bCs w:val="1"/>
          <w:color w:val="auto"/>
        </w:rPr>
        <w:t>AND COMPREHENSIVE INCOME (LOSS)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60" w:type="dxa"/>
            <w:vAlign w:val="bottom"/>
            <w:gridSpan w:val="5"/>
          </w:tcPr>
          <w:p>
            <w:pPr>
              <w:jc w:val="right"/>
              <w:ind w:right="116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5"/>
                <w:szCs w:val="15"/>
                <w:color w:val="auto"/>
              </w:rPr>
            </w:pPr>
          </w:p>
        </w:tc>
        <w:tc>
          <w:tcPr>
            <w:tcW w:w="3060" w:type="dxa"/>
            <w:vAlign w:val="bottom"/>
            <w:gridSpan w:val="5"/>
          </w:tcPr>
          <w:p>
            <w:pPr>
              <w:jc w:val="right"/>
              <w:ind w:right="11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7"/>
              </w:rPr>
              <w:t>September 30, 2022</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7"/>
              </w:rPr>
              <w:t>September 30, 2021</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5"/>
              </w:rPr>
              <w:t>September 30, 2022</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97"/>
              </w:rPr>
              <w:t>September 30,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8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rPr>
              <w:t>(In thousands, except per share data)</w:t>
            </w: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Revenues:</w:t>
            </w:r>
          </w:p>
        </w:tc>
        <w:tc>
          <w:tcPr>
            <w:tcW w:w="1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0"/>
              <w:spacing w:after="0"/>
              <w:rPr>
                <w:sz w:val="20"/>
                <w:szCs w:val="20"/>
                <w:color w:val="auto"/>
              </w:rPr>
            </w:pPr>
            <w:r>
              <w:rPr>
                <w:rFonts w:ascii="Arial" w:cs="Arial" w:eastAsia="Arial" w:hAnsi="Arial"/>
                <w:sz w:val="14"/>
                <w:szCs w:val="14"/>
                <w:color w:val="auto"/>
              </w:rPr>
              <w:t>Product revenues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254,861</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221,055</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424,106</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426,697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Service revenues</w:t>
            </w:r>
          </w:p>
        </w:tc>
        <w:tc>
          <w:tcPr>
            <w:tcW w:w="10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401,822</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388,102</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804,011</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753,240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0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656,683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609,157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1,228,117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1,179,937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200"/>
              <w:spacing w:after="0"/>
              <w:rPr>
                <w:sz w:val="20"/>
                <w:szCs w:val="20"/>
                <w:color w:val="auto"/>
              </w:rPr>
            </w:pPr>
            <w:r>
              <w:rPr>
                <w:rFonts w:ascii="Arial" w:cs="Arial" w:eastAsia="Arial" w:hAnsi="Arial"/>
                <w:sz w:val="14"/>
                <w:szCs w:val="14"/>
                <w:color w:val="auto"/>
              </w:rPr>
              <w:t>Cost of product revenues</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171,105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183,905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318,581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347,916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Cost of service revenues</w:t>
            </w:r>
          </w:p>
        </w:tc>
        <w:tc>
          <w:tcPr>
            <w:tcW w:w="1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267,448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249,935</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536,000</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480,766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177,191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152,724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348,816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303,393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Independent research and development</w:t>
            </w:r>
          </w:p>
        </w:tc>
        <w:tc>
          <w:tcPr>
            <w:tcW w:w="1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32,416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39,612</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67,181</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73,217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0"/>
              <w:spacing w:after="0"/>
              <w:rPr>
                <w:sz w:val="20"/>
                <w:szCs w:val="20"/>
                <w:color w:val="auto"/>
              </w:rPr>
            </w:pPr>
            <w:r>
              <w:rPr>
                <w:rFonts w:ascii="Arial" w:cs="Arial" w:eastAsia="Arial" w:hAnsi="Arial"/>
                <w:sz w:val="14"/>
                <w:szCs w:val="14"/>
                <w:color w:val="auto"/>
              </w:rPr>
              <w:t>Amortization of acquired intangible assets</w:t>
            </w: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7,379</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7,399</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14,902</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(24,418 )</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(57,363 )</w:t>
            </w:r>
          </w:p>
        </w:tc>
        <w:tc>
          <w:tcPr>
            <w:tcW w:w="1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(38,683 )</w:t>
            </w:r>
          </w:p>
        </w:tc>
        <w:tc>
          <w:tcPr>
            <w:tcW w:w="0" w:type="dxa"/>
            <w:vAlign w:val="bottom"/>
          </w:tcPr>
          <w:p>
            <w:pPr>
              <w:spacing w:after="0"/>
              <w:rPr>
                <w:sz w:val="1"/>
                <w:szCs w:val="1"/>
                <w:color w:val="auto"/>
              </w:rPr>
            </w:pPr>
          </w:p>
        </w:tc>
      </w:tr>
      <w:tr>
        <w:trPr>
          <w:trHeight w:val="176"/>
        </w:trPr>
        <w:tc>
          <w:tcPr>
            <w:tcW w:w="47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6,809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6,932</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200"/>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5"/>
                <w:szCs w:val="15"/>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4"/>
                <w:szCs w:val="14"/>
                <w:color w:val="auto"/>
              </w:rPr>
              <w:t>(4,638 )</w:t>
            </w:r>
          </w:p>
        </w:tc>
        <w:tc>
          <w:tcPr>
            <w:tcW w:w="12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(6,093 )</w:t>
            </w:r>
          </w:p>
        </w:tc>
        <w:tc>
          <w:tcPr>
            <w:tcW w:w="12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4"/>
                <w:szCs w:val="14"/>
                <w:color w:val="auto"/>
              </w:rPr>
              <w:t>(10,511 )</w:t>
            </w:r>
          </w:p>
        </w:tc>
        <w:tc>
          <w:tcPr>
            <w:tcW w:w="120" w:type="dxa"/>
            <w:vAlign w:val="bottom"/>
          </w:tcPr>
          <w:p>
            <w:pPr>
              <w:spacing w:after="0"/>
              <w:rPr>
                <w:sz w:val="15"/>
                <w:szCs w:val="15"/>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4"/>
                <w:szCs w:val="14"/>
                <w:color w:val="auto"/>
              </w:rPr>
              <w:t>(12,385 )</w:t>
            </w:r>
          </w:p>
        </w:tc>
        <w:tc>
          <w:tcPr>
            <w:tcW w:w="0" w:type="dxa"/>
            <w:vAlign w:val="bottom"/>
          </w:tcPr>
          <w:p>
            <w:pPr>
              <w:spacing w:after="0"/>
              <w:rPr>
                <w:sz w:val="1"/>
                <w:szCs w:val="1"/>
                <w:color w:val="auto"/>
              </w:rPr>
            </w:pPr>
          </w:p>
        </w:tc>
      </w:tr>
      <w:tr>
        <w:trPr>
          <w:trHeight w:val="175"/>
        </w:trPr>
        <w:tc>
          <w:tcPr>
            <w:tcW w:w="4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income, net</w:t>
            </w:r>
          </w:p>
        </w:tc>
        <w:tc>
          <w:tcPr>
            <w:tcW w:w="10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1,098</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4,118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00" w:type="dxa"/>
            <w:vAlign w:val="bottom"/>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3,402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(30,440 )</w:t>
            </w:r>
          </w:p>
        </w:tc>
        <w:tc>
          <w:tcPr>
            <w:tcW w:w="120" w:type="dxa"/>
            <w:vAlign w:val="bottom"/>
          </w:tcPr>
          <w:p>
            <w:pPr>
              <w:spacing w:after="0"/>
              <w:rPr>
                <w:sz w:val="14"/>
                <w:szCs w:val="14"/>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4"/>
                <w:szCs w:val="14"/>
                <w:color w:val="auto"/>
              </w:rPr>
              <w:t>(59,844 )</w:t>
            </w:r>
          </w:p>
        </w:tc>
        <w:tc>
          <w:tcPr>
            <w:tcW w:w="120" w:type="dxa"/>
            <w:vAlign w:val="bottom"/>
          </w:tcPr>
          <w:p>
            <w:pPr>
              <w:spacing w:after="0"/>
              <w:rPr>
                <w:sz w:val="14"/>
                <w:szCs w:val="14"/>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4"/>
                <w:szCs w:val="14"/>
                <w:color w:val="auto"/>
              </w:rPr>
              <w:t>(46,816 )</w:t>
            </w:r>
          </w:p>
        </w:tc>
        <w:tc>
          <w:tcPr>
            <w:tcW w:w="0" w:type="dxa"/>
            <w:vAlign w:val="bottom"/>
          </w:tcPr>
          <w:p>
            <w:pPr>
              <w:spacing w:after="0"/>
              <w:rPr>
                <w:sz w:val="1"/>
                <w:szCs w:val="1"/>
                <w:color w:val="auto"/>
              </w:rPr>
            </w:pPr>
          </w:p>
        </w:tc>
      </w:tr>
      <w:tr>
        <w:trPr>
          <w:trHeight w:val="176"/>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for) benefit from income taxes from continuing operations</w:t>
            </w:r>
          </w:p>
        </w:tc>
        <w:tc>
          <w:tcPr>
            <w:tcW w:w="10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(76,079 )</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9,110</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(52,503 )</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rPr>
                <w:sz w:val="20"/>
                <w:szCs w:val="20"/>
                <w:color w:val="auto"/>
              </w:rPr>
            </w:pPr>
            <w:r>
              <w:rPr>
                <w:rFonts w:ascii="Arial" w:cs="Arial" w:eastAsia="Arial" w:hAnsi="Arial"/>
                <w:sz w:val="14"/>
                <w:szCs w:val="14"/>
                <w:color w:val="auto"/>
              </w:rPr>
              <w:t>Equity in income (loss) of unconsolidated affiliate, net</w:t>
            </w:r>
          </w:p>
        </w:tc>
        <w:tc>
          <w:tcPr>
            <w:tcW w:w="100" w:type="dxa"/>
            <w:vAlign w:val="bottom"/>
          </w:tcPr>
          <w:p>
            <w:pPr>
              <w:spacing w:after="0"/>
              <w:rPr>
                <w:sz w:val="15"/>
                <w:szCs w:val="15"/>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4"/>
                <w:szCs w:val="14"/>
                <w:color w:val="auto"/>
              </w:rPr>
              <w:t>(40 )</w:t>
            </w:r>
          </w:p>
        </w:tc>
        <w:tc>
          <w:tcPr>
            <w:tcW w:w="120" w:type="dxa"/>
            <w:vAlign w:val="bottom"/>
          </w:tcPr>
          <w:p>
            <w:pPr>
              <w:spacing w:after="0"/>
              <w:rPr>
                <w:sz w:val="15"/>
                <w:szCs w:val="15"/>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4"/>
                <w:szCs w:val="14"/>
                <w:color w:val="auto"/>
              </w:rPr>
              <w:t>(40 )</w:t>
            </w:r>
          </w:p>
        </w:tc>
        <w:tc>
          <w:tcPr>
            <w:tcW w:w="120" w:type="dxa"/>
            <w:vAlign w:val="bottom"/>
          </w:tcPr>
          <w:p>
            <w:pPr>
              <w:spacing w:after="0"/>
              <w:rPr>
                <w:sz w:val="15"/>
                <w:szCs w:val="15"/>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4"/>
                <w:szCs w:val="14"/>
                <w:color w:val="auto"/>
              </w:rPr>
              <w:t>(256 )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(loss) from continuing operations</w:t>
            </w:r>
          </w:p>
        </w:tc>
        <w:tc>
          <w:tcPr>
            <w:tcW w:w="10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(72,717 )</w:t>
            </w:r>
          </w:p>
        </w:tc>
        <w:tc>
          <w:tcPr>
            <w:tcW w:w="12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(21,330 )</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(112,387 )</w:t>
            </w:r>
          </w:p>
        </w:tc>
        <w:tc>
          <w:tcPr>
            <w:tcW w:w="1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(27,582 )</w:t>
            </w:r>
          </w:p>
        </w:tc>
        <w:tc>
          <w:tcPr>
            <w:tcW w:w="0" w:type="dxa"/>
            <w:vAlign w:val="bottom"/>
          </w:tcPr>
          <w:p>
            <w:pPr>
              <w:spacing w:after="0"/>
              <w:rPr>
                <w:sz w:val="1"/>
                <w:szCs w:val="1"/>
                <w:color w:val="auto"/>
              </w:rPr>
            </w:pPr>
          </w:p>
        </w:tc>
      </w:tr>
      <w:tr>
        <w:trPr>
          <w:trHeight w:val="176"/>
        </w:trPr>
        <w:tc>
          <w:tcPr>
            <w:tcW w:w="4700" w:type="dxa"/>
            <w:vAlign w:val="bottom"/>
          </w:tcPr>
          <w:p>
            <w:pPr>
              <w:ind w:left="20"/>
              <w:spacing w:after="0"/>
              <w:rPr>
                <w:sz w:val="20"/>
                <w:szCs w:val="20"/>
                <w:color w:val="auto"/>
              </w:rPr>
            </w:pPr>
            <w:r>
              <w:rPr>
                <w:rFonts w:ascii="Arial" w:cs="Arial" w:eastAsia="Arial" w:hAnsi="Arial"/>
                <w:sz w:val="14"/>
                <w:szCs w:val="14"/>
                <w:color w:val="auto"/>
              </w:rPr>
              <w:t>Net income (loss) from discontinued operations, net of tax</w:t>
            </w: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25,161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26,480</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43,792</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(47,556 )</w:t>
            </w: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5,150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(68,595 )</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00" w:type="dxa"/>
            <w:vAlign w:val="bottom"/>
          </w:tcPr>
          <w:p>
            <w:pPr>
              <w:ind w:left="20"/>
              <w:spacing w:after="0" w:line="153" w:lineRule="exact"/>
              <w:rPr>
                <w:sz w:val="20"/>
                <w:szCs w:val="20"/>
                <w:color w:val="auto"/>
              </w:rPr>
            </w:pPr>
            <w:r>
              <w:rPr>
                <w:rFonts w:ascii="Arial" w:cs="Arial" w:eastAsia="Arial" w:hAnsi="Arial"/>
                <w:sz w:val="14"/>
                <w:szCs w:val="14"/>
                <w:color w:val="auto"/>
              </w:rPr>
              <w:t>Less: net income (loss) attributable to</w:t>
            </w:r>
          </w:p>
        </w:tc>
        <w:tc>
          <w:tcPr>
            <w:tcW w:w="1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684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1,859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1,209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2,903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tcPr>
          <w:p>
            <w:pPr>
              <w:ind w:left="140"/>
              <w:spacing w:after="0" w:line="157" w:lineRule="exact"/>
              <w:rPr>
                <w:sz w:val="20"/>
                <w:szCs w:val="20"/>
                <w:color w:val="auto"/>
              </w:rPr>
            </w:pPr>
            <w:r>
              <w:rPr>
                <w:rFonts w:ascii="Arial" w:cs="Arial" w:eastAsia="Arial" w:hAnsi="Arial"/>
                <w:sz w:val="14"/>
                <w:szCs w:val="14"/>
                <w:color w:val="auto"/>
              </w:rPr>
              <w:t>noncontrolling interest, net of tax</w:t>
            </w: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(loss) attributable to Viasat, Inc.</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(48,240 )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(69,804 )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4700" w:type="dxa"/>
            <w:vAlign w:val="bottom"/>
            <w:tcBorders>
              <w:top w:val="single" w:sz="8" w:color="CFF0FC"/>
            </w:tcBorders>
          </w:tcPr>
          <w:p>
            <w:pPr>
              <w:ind w:left="20"/>
              <w:spacing w:after="0" w:line="134" w:lineRule="exact"/>
              <w:rPr>
                <w:sz w:val="20"/>
                <w:szCs w:val="20"/>
                <w:color w:val="auto"/>
              </w:rPr>
            </w:pPr>
            <w:r>
              <w:rPr>
                <w:rFonts w:ascii="Arial" w:cs="Arial" w:eastAsia="Arial" w:hAnsi="Arial"/>
                <w:sz w:val="14"/>
                <w:szCs w:val="14"/>
                <w:color w:val="auto"/>
              </w:rPr>
              <w:t>Income (loss) per share attributable</w:t>
            </w: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140"/>
              <w:spacing w:after="0"/>
              <w:rPr>
                <w:sz w:val="20"/>
                <w:szCs w:val="20"/>
                <w:color w:val="auto"/>
              </w:rPr>
            </w:pPr>
            <w:r>
              <w:rPr>
                <w:rFonts w:ascii="Arial" w:cs="Arial" w:eastAsia="Arial" w:hAnsi="Arial"/>
                <w:sz w:val="14"/>
                <w:szCs w:val="14"/>
                <w:color w:val="auto"/>
              </w:rPr>
              <w:t>to Viasat, Inc. common stockholders - basic:</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Continuing operations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(0.97 )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(0.32 )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(1.51 )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(0.42 )</w:t>
            </w:r>
          </w:p>
        </w:tc>
        <w:tc>
          <w:tcPr>
            <w:tcW w:w="0" w:type="dxa"/>
            <w:vAlign w:val="bottom"/>
          </w:tcPr>
          <w:p>
            <w:pPr>
              <w:spacing w:after="0"/>
              <w:rPr>
                <w:sz w:val="1"/>
                <w:szCs w:val="1"/>
                <w:color w:val="auto"/>
              </w:rPr>
            </w:pPr>
          </w:p>
        </w:tc>
      </w:tr>
      <w:tr>
        <w:trPr>
          <w:trHeight w:val="175"/>
        </w:trPr>
        <w:tc>
          <w:tcPr>
            <w:tcW w:w="4700" w:type="dxa"/>
            <w:vAlign w:val="bottom"/>
          </w:tcPr>
          <w:p>
            <w:pPr>
              <w:ind w:left="200"/>
              <w:spacing w:after="0"/>
              <w:rPr>
                <w:sz w:val="20"/>
                <w:szCs w:val="20"/>
                <w:color w:val="auto"/>
              </w:rPr>
            </w:pPr>
            <w:r>
              <w:rPr>
                <w:rFonts w:ascii="Arial" w:cs="Arial" w:eastAsia="Arial" w:hAnsi="Arial"/>
                <w:sz w:val="14"/>
                <w:szCs w:val="14"/>
                <w:color w:val="auto"/>
              </w:rPr>
              <w:t>Discontinued operations</w:t>
            </w: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0.33</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0.58</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Income (loss)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(0.64 )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(0.93 )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4700" w:type="dxa"/>
            <w:vAlign w:val="bottom"/>
            <w:tcBorders>
              <w:top w:val="single" w:sz="8" w:color="CFF0FC"/>
            </w:tcBorders>
          </w:tcPr>
          <w:p>
            <w:pPr>
              <w:ind w:left="20"/>
              <w:spacing w:after="0" w:line="134" w:lineRule="exact"/>
              <w:rPr>
                <w:sz w:val="20"/>
                <w:szCs w:val="20"/>
                <w:color w:val="auto"/>
              </w:rPr>
            </w:pPr>
            <w:r>
              <w:rPr>
                <w:rFonts w:ascii="Arial" w:cs="Arial" w:eastAsia="Arial" w:hAnsi="Arial"/>
                <w:sz w:val="14"/>
                <w:szCs w:val="14"/>
                <w:color w:val="auto"/>
              </w:rPr>
              <w:t>Income (loss) per share attributable</w:t>
            </w: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140"/>
              <w:spacing w:after="0"/>
              <w:rPr>
                <w:sz w:val="20"/>
                <w:szCs w:val="20"/>
                <w:color w:val="auto"/>
              </w:rPr>
            </w:pPr>
            <w:r>
              <w:rPr>
                <w:rFonts w:ascii="Arial" w:cs="Arial" w:eastAsia="Arial" w:hAnsi="Arial"/>
                <w:sz w:val="14"/>
                <w:szCs w:val="14"/>
                <w:color w:val="auto"/>
              </w:rPr>
              <w:t>to Viasat, Inc. common stockholders - diluted</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Continuing operations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(0.97 )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(0.32 )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(1.51 )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(0.42 )</w:t>
            </w:r>
          </w:p>
        </w:tc>
        <w:tc>
          <w:tcPr>
            <w:tcW w:w="0" w:type="dxa"/>
            <w:vAlign w:val="bottom"/>
          </w:tcPr>
          <w:p>
            <w:pPr>
              <w:spacing w:after="0"/>
              <w:rPr>
                <w:sz w:val="1"/>
                <w:szCs w:val="1"/>
                <w:color w:val="auto"/>
              </w:rPr>
            </w:pPr>
          </w:p>
        </w:tc>
      </w:tr>
      <w:tr>
        <w:trPr>
          <w:trHeight w:val="175"/>
        </w:trPr>
        <w:tc>
          <w:tcPr>
            <w:tcW w:w="4700" w:type="dxa"/>
            <w:vAlign w:val="bottom"/>
          </w:tcPr>
          <w:p>
            <w:pPr>
              <w:ind w:left="200"/>
              <w:spacing w:after="0"/>
              <w:rPr>
                <w:sz w:val="20"/>
                <w:szCs w:val="20"/>
                <w:color w:val="auto"/>
              </w:rPr>
            </w:pPr>
            <w:r>
              <w:rPr>
                <w:rFonts w:ascii="Arial" w:cs="Arial" w:eastAsia="Arial" w:hAnsi="Arial"/>
                <w:sz w:val="14"/>
                <w:szCs w:val="14"/>
                <w:color w:val="auto"/>
              </w:rPr>
              <w:t>Discontinued operations</w:t>
            </w: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0.33</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0.58</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Income (loss)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(0.64 )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(0.93 )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4700" w:type="dxa"/>
            <w:vAlign w:val="bottom"/>
            <w:tcBorders>
              <w:top w:val="single" w:sz="8" w:color="CFF0FC"/>
            </w:tcBorders>
          </w:tcPr>
          <w:p>
            <w:pPr>
              <w:ind w:left="200"/>
              <w:spacing w:after="0" w:line="134" w:lineRule="exact"/>
              <w:rPr>
                <w:sz w:val="20"/>
                <w:szCs w:val="20"/>
                <w:color w:val="auto"/>
              </w:rPr>
            </w:pPr>
            <w:r>
              <w:rPr>
                <w:rFonts w:ascii="Arial" w:cs="Arial" w:eastAsia="Arial" w:hAnsi="Arial"/>
                <w:sz w:val="14"/>
                <w:szCs w:val="14"/>
                <w:color w:val="auto"/>
              </w:rPr>
              <w:t>Shares used in computing basic net</w:t>
            </w: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320"/>
              <w:spacing w:after="0"/>
              <w:rPr>
                <w:sz w:val="20"/>
                <w:szCs w:val="20"/>
                <w:color w:val="auto"/>
              </w:rPr>
            </w:pPr>
            <w:r>
              <w:rPr>
                <w:rFonts w:ascii="Arial" w:cs="Arial" w:eastAsia="Arial" w:hAnsi="Arial"/>
                <w:sz w:val="14"/>
                <w:szCs w:val="14"/>
                <w:color w:val="auto"/>
              </w:rPr>
              <w:t>income (loss) per share</w:t>
            </w: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75,758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73,544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75,313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72,549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0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Shares used in computing diluted net</w:t>
            </w:r>
          </w:p>
        </w:tc>
        <w:tc>
          <w:tcPr>
            <w:tcW w:w="10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00" w:type="dxa"/>
            <w:vAlign w:val="bottom"/>
            <w:shd w:val="clear" w:color="auto" w:fill="CFF0FC"/>
          </w:tcPr>
          <w:p>
            <w:pPr>
              <w:ind w:left="320"/>
              <w:spacing w:after="0"/>
              <w:rPr>
                <w:sz w:val="20"/>
                <w:szCs w:val="20"/>
                <w:color w:val="auto"/>
              </w:rPr>
            </w:pPr>
            <w:r>
              <w:rPr>
                <w:rFonts w:ascii="Arial" w:cs="Arial" w:eastAsia="Arial" w:hAnsi="Arial"/>
                <w:sz w:val="14"/>
                <w:szCs w:val="14"/>
                <w:color w:val="auto"/>
              </w:rPr>
              <w:t>income (loss) per share</w:t>
            </w:r>
          </w:p>
        </w:tc>
        <w:tc>
          <w:tcPr>
            <w:tcW w:w="1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75,758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73,544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75,313</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72,549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-3950970</wp:posOffset>
            </wp:positionV>
            <wp:extent cx="76835"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-3950970</wp:posOffset>
            </wp:positionV>
            <wp:extent cx="6858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-3950970</wp:posOffset>
            </wp:positionV>
            <wp:extent cx="6858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-2596515</wp:posOffset>
            </wp:positionV>
            <wp:extent cx="76835"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-2596515</wp:posOffset>
            </wp:positionV>
            <wp:extent cx="6858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-2596515</wp:posOffset>
            </wp:positionV>
            <wp:extent cx="68580"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-1584960</wp:posOffset>
            </wp:positionV>
            <wp:extent cx="3240405" cy="2311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40405" cy="23114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-1010920</wp:posOffset>
            </wp:positionV>
            <wp:extent cx="3240405" cy="231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40405" cy="23177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-436245</wp:posOffset>
            </wp:positionV>
            <wp:extent cx="3240405" cy="231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40405" cy="2317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11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 (loss)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income (loss), net of tax:</w:t>
      </w:r>
    </w:p>
    <w:p>
      <w:pPr>
        <w:spacing w:after="0" w:line="15" w:lineRule="exact"/>
        <w:rPr>
          <w:sz w:val="20"/>
          <w:szCs w:val="20"/>
          <w:color w:val="auto"/>
        </w:rPr>
      </w:pPr>
    </w:p>
    <w:p>
      <w:pPr>
        <w:ind w:left="320" w:right="900" w:hanging="119"/>
        <w:spacing w:after="0" w:line="239" w:lineRule="auto"/>
        <w:rPr>
          <w:sz w:val="20"/>
          <w:szCs w:val="20"/>
          <w:color w:val="auto"/>
        </w:rPr>
      </w:pPr>
      <w:r>
        <w:rPr>
          <w:rFonts w:ascii="Arial" w:cs="Arial" w:eastAsia="Arial" w:hAnsi="Arial"/>
          <w:sz w:val="14"/>
          <w:szCs w:val="14"/>
          <w:color w:val="auto"/>
        </w:rPr>
        <w:t>Foreign currency translation adjustments, net of tax</w:t>
      </w:r>
    </w:p>
    <w:p>
      <w:pPr>
        <w:spacing w:after="0" w:line="3" w:lineRule="exact"/>
        <w:rPr>
          <w:sz w:val="20"/>
          <w:szCs w:val="20"/>
          <w:color w:val="auto"/>
        </w:rPr>
      </w:pPr>
    </w:p>
    <w:p>
      <w:pPr>
        <w:ind w:left="20" w:right="1020"/>
        <w:spacing w:after="0" w:line="271" w:lineRule="auto"/>
        <w:rPr>
          <w:sz w:val="20"/>
          <w:szCs w:val="20"/>
          <w:color w:val="auto"/>
        </w:rPr>
      </w:pPr>
      <w:r>
        <w:rPr>
          <w:rFonts w:ascii="Arial" w:cs="Arial" w:eastAsia="Arial" w:hAnsi="Arial"/>
          <w:sz w:val="14"/>
          <w:szCs w:val="14"/>
          <w:color w:val="auto"/>
        </w:rPr>
        <w:t>Other comprehensive income (loss), net of tax Comprehensive income (loss)</w:t>
      </w:r>
    </w:p>
    <w:p>
      <w:pPr>
        <w:spacing w:after="0" w:line="1" w:lineRule="exact"/>
        <w:rPr>
          <w:sz w:val="20"/>
          <w:szCs w:val="20"/>
          <w:color w:val="auto"/>
        </w:rPr>
      </w:pPr>
    </w:p>
    <w:p>
      <w:pPr>
        <w:ind w:left="140" w:right="960" w:hanging="119"/>
        <w:spacing w:after="0" w:line="239" w:lineRule="auto"/>
        <w:rPr>
          <w:sz w:val="20"/>
          <w:szCs w:val="20"/>
          <w:color w:val="auto"/>
        </w:rPr>
      </w:pPr>
      <w:r>
        <w:rPr>
          <w:rFonts w:ascii="Arial" w:cs="Arial" w:eastAsia="Arial" w:hAnsi="Arial"/>
          <w:sz w:val="14"/>
          <w:szCs w:val="14"/>
          <w:color w:val="auto"/>
        </w:rPr>
        <w:t>Less: comprehensive income (loss) attributable to noncontrolling interest, net of tax</w:t>
      </w:r>
    </w:p>
    <w:p>
      <w:pPr>
        <w:spacing w:after="0" w:line="3" w:lineRule="exact"/>
        <w:rPr>
          <w:sz w:val="20"/>
          <w:szCs w:val="20"/>
          <w:color w:val="auto"/>
        </w:rPr>
      </w:pPr>
    </w:p>
    <w:p>
      <w:pPr>
        <w:ind w:left="140" w:right="1140" w:hanging="119"/>
        <w:spacing w:after="0" w:line="239" w:lineRule="auto"/>
        <w:rPr>
          <w:sz w:val="20"/>
          <w:szCs w:val="20"/>
          <w:color w:val="auto"/>
        </w:rPr>
      </w:pPr>
      <w:r>
        <w:rPr>
          <w:rFonts w:ascii="Arial" w:cs="Arial" w:eastAsia="Arial" w:hAnsi="Arial"/>
          <w:sz w:val="14"/>
          <w:szCs w:val="14"/>
          <w:color w:val="auto"/>
        </w:rPr>
        <w:t>Comprehensive income (loss) attributable to Viasat,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(47,556 )</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5,150</w:t>
            </w:r>
          </w:p>
        </w:tc>
        <w:tc>
          <w:tcPr>
            <w:tcW w:w="200" w:type="dxa"/>
            <w:vAlign w:val="bottom"/>
          </w:tcPr>
          <w:p>
            <w:pPr>
              <w:spacing w:after="0"/>
              <w:rPr>
                <w:sz w:val="14"/>
                <w:szCs w:val="14"/>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(68,595 )</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23,162</w:t>
            </w:r>
          </w:p>
        </w:tc>
        <w:tc>
          <w:tcPr>
            <w:tcW w:w="60" w:type="dxa"/>
            <w:vAlign w:val="bottom"/>
          </w:tcPr>
          <w:p>
            <w:pPr>
              <w:spacing w:after="0"/>
              <w:rPr>
                <w:sz w:val="14"/>
                <w:szCs w:val="14"/>
                <w:color w:val="auto"/>
              </w:rPr>
            </w:pPr>
          </w:p>
        </w:tc>
      </w:tr>
      <w:tr>
        <w:trPr>
          <w:trHeight w:val="485"/>
        </w:trPr>
        <w:tc>
          <w:tcPr>
            <w:tcW w:w="52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(21,995 )</w:t>
            </w:r>
          </w:p>
        </w:tc>
        <w:tc>
          <w:tcPr>
            <w:tcW w:w="5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(10,934 )</w:t>
            </w:r>
          </w:p>
        </w:tc>
        <w:tc>
          <w:tcPr>
            <w:tcW w:w="46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(42,336 )</w:t>
            </w:r>
          </w:p>
        </w:tc>
        <w:tc>
          <w:tcPr>
            <w:tcW w:w="5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(26,676 )</w:t>
            </w:r>
          </w:p>
        </w:tc>
      </w:tr>
      <w:tr>
        <w:trPr>
          <w:trHeight w:val="20"/>
        </w:trPr>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5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(21,995 )</w:t>
            </w:r>
          </w:p>
        </w:tc>
        <w:tc>
          <w:tcPr>
            <w:tcW w:w="5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(10,934 )</w:t>
            </w:r>
          </w:p>
        </w:tc>
        <w:tc>
          <w:tcPr>
            <w:tcW w:w="46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(42,336 )</w:t>
            </w:r>
          </w:p>
        </w:tc>
        <w:tc>
          <w:tcPr>
            <w:tcW w:w="5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(26,676 )</w:t>
            </w:r>
          </w:p>
        </w:tc>
      </w:tr>
      <w:tr>
        <w:trPr>
          <w:trHeight w:val="20"/>
        </w:trPr>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1"/>
        </w:trPr>
        <w:tc>
          <w:tcPr>
            <w:tcW w:w="5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(69,551 )</w:t>
            </w:r>
          </w:p>
        </w:tc>
        <w:tc>
          <w:tcPr>
            <w:tcW w:w="5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(5,784 )</w:t>
            </w:r>
          </w:p>
        </w:tc>
        <w:tc>
          <w:tcPr>
            <w:tcW w:w="46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(110,931 )</w:t>
            </w:r>
          </w:p>
        </w:tc>
        <w:tc>
          <w:tcPr>
            <w:tcW w:w="5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(3,514 )</w:t>
            </w:r>
          </w:p>
        </w:tc>
      </w:tr>
      <w:tr>
        <w:trPr>
          <w:trHeight w:val="309"/>
        </w:trPr>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w:t>
            </w:r>
          </w:p>
        </w:tc>
        <w:tc>
          <w:tcPr>
            <w:tcW w:w="2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1,859</w:t>
            </w:r>
          </w:p>
        </w:tc>
        <w:tc>
          <w:tcPr>
            <w:tcW w:w="2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1,209</w:t>
            </w:r>
          </w:p>
        </w:tc>
        <w:tc>
          <w:tcPr>
            <w:tcW w:w="2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2,903</w:t>
            </w:r>
          </w:p>
        </w:tc>
        <w:tc>
          <w:tcPr>
            <w:tcW w:w="60" w:type="dxa"/>
            <w:vAlign w:val="bottom"/>
          </w:tcPr>
          <w:p>
            <w:pPr>
              <w:spacing w:after="0"/>
              <w:rPr>
                <w:sz w:val="24"/>
                <w:szCs w:val="24"/>
                <w:color w:val="auto"/>
              </w:rPr>
            </w:pPr>
          </w:p>
        </w:tc>
      </w:tr>
      <w:tr>
        <w:trPr>
          <w:trHeight w:val="277"/>
        </w:trPr>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(70,235 )</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(7,643 )</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(112,140 )</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(6,417 )</w:t>
            </w:r>
          </w:p>
        </w:tc>
      </w:tr>
      <w:tr>
        <w:trPr>
          <w:trHeight w:val="20"/>
        </w:trPr>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-847725</wp:posOffset>
            </wp:positionV>
            <wp:extent cx="7132320" cy="436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-205105</wp:posOffset>
            </wp:positionV>
            <wp:extent cx="7132320"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3980" w:space="720"/>
            <w:col w:w="6540"/>
          </w:cols>
          <w:pgMar w:left="320" w:top="319" w:right="339" w:bottom="1440" w:gutter="0" w:footer="0" w:header="0"/>
          <w:type w:val="continuous"/>
        </w:sectPr>
      </w:pP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4" w:name="page5"/>
    <w:bookmarkEnd w:id="4"/>
    <w:p>
      <w:pPr>
        <w:ind w:left="5060"/>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80" w:type="dxa"/>
            <w:vAlign w:val="bottom"/>
            <w:gridSpan w:val="5"/>
          </w:tcPr>
          <w:p>
            <w:pPr>
              <w:jc w:val="right"/>
              <w:ind w:right="138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7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Continuing and Discontinued Operations</w:t>
            </w:r>
          </w:p>
        </w:tc>
        <w:tc>
          <w:tcPr>
            <w:tcW w:w="18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September 30, 2022</w:t>
            </w: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5"/>
          </w:tcPr>
          <w:p>
            <w:pPr>
              <w:jc w:val="right"/>
              <w:ind w:right="150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jc w:val="right"/>
              <w:ind w:right="141"/>
              <w:spacing w:after="0"/>
              <w:rPr>
                <w:sz w:val="20"/>
                <w:szCs w:val="20"/>
                <w:color w:val="auto"/>
              </w:rPr>
            </w:pPr>
            <w:r>
              <w:rPr>
                <w:rFonts w:ascii="Arial" w:cs="Arial" w:eastAsia="Arial" w:hAnsi="Arial"/>
                <w:sz w:val="18"/>
                <w:szCs w:val="18"/>
                <w:color w:val="auto"/>
              </w:rPr>
              <w:t>(68,595 )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23,162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180" w:type="dxa"/>
            <w:vAlign w:val="bottom"/>
            <w:shd w:val="clear" w:color="auto" w:fill="CFF0FC"/>
          </w:tcPr>
          <w:p>
            <w:pPr>
              <w:ind w:left="20"/>
              <w:spacing w:after="0" w:line="166" w:lineRule="exact"/>
              <w:rPr>
                <w:sz w:val="20"/>
                <w:szCs w:val="20"/>
                <w:color w:val="auto"/>
              </w:rPr>
            </w:pPr>
            <w:r>
              <w:rPr>
                <w:rFonts w:ascii="Arial" w:cs="Arial" w:eastAsia="Arial" w:hAnsi="Arial"/>
                <w:sz w:val="18"/>
                <w:szCs w:val="18"/>
                <w:b w:val="1"/>
                <w:bCs w:val="1"/>
                <w:color w:val="auto"/>
              </w:rPr>
              <w:t>Adjustments to reconcile net income (loss) to net cash provided by operating</w:t>
            </w:r>
          </w:p>
        </w:tc>
        <w:tc>
          <w:tcPr>
            <w:tcW w:w="18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activities:</w:t>
            </w:r>
          </w:p>
        </w:tc>
        <w:tc>
          <w:tcPr>
            <w:tcW w:w="18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52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204,599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198,970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43,888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5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43,806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Loss on disposition of fixed assets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25,406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520"/>
              <w:spacing w:after="0"/>
              <w:rPr>
                <w:sz w:val="20"/>
                <w:szCs w:val="20"/>
                <w:color w:val="auto"/>
              </w:rPr>
            </w:pPr>
            <w:r>
              <w:rPr>
                <w:rFonts w:ascii="Arial" w:cs="Arial" w:eastAsia="Arial" w:hAnsi="Arial"/>
                <w:sz w:val="18"/>
                <w:szCs w:val="18"/>
                <w:color w:val="auto"/>
              </w:rPr>
              <w:t>Deferred income taxes and other non-cash adjustments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65,250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(7,534 )</w:t>
            </w:r>
          </w:p>
        </w:tc>
        <w:tc>
          <w:tcPr>
            <w:tcW w:w="0" w:type="dxa"/>
            <w:vAlign w:val="bottom"/>
          </w:tcPr>
          <w:p>
            <w:pPr>
              <w:spacing w:after="0"/>
              <w:rPr>
                <w:sz w:val="1"/>
                <w:szCs w:val="1"/>
                <w:color w:val="auto"/>
              </w:rPr>
            </w:pPr>
          </w:p>
        </w:tc>
      </w:tr>
      <w:tr>
        <w:trPr>
          <w:trHeight w:val="188"/>
        </w:trPr>
        <w:tc>
          <w:tcPr>
            <w:tcW w:w="7180" w:type="dxa"/>
            <w:vAlign w:val="bottom"/>
            <w:shd w:val="clear" w:color="auto" w:fill="CFF0FC"/>
          </w:tcPr>
          <w:p>
            <w:pPr>
              <w:ind w:left="280"/>
              <w:spacing w:after="0" w:line="189" w:lineRule="exact"/>
              <w:rPr>
                <w:sz w:val="20"/>
                <w:szCs w:val="20"/>
                <w:color w:val="auto"/>
              </w:rPr>
            </w:pPr>
            <w:r>
              <w:rPr>
                <w:rFonts w:ascii="Arial" w:cs="Arial" w:eastAsia="Arial" w:hAnsi="Arial"/>
                <w:sz w:val="18"/>
                <w:szCs w:val="18"/>
                <w:color w:val="auto"/>
              </w:rPr>
              <w:t>Increase (decrease) in cash resulting from changes in operating</w:t>
            </w:r>
          </w:p>
        </w:tc>
        <w:tc>
          <w:tcPr>
            <w:tcW w:w="18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1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assets and liabilities, net of effect of acquisitions: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940" w:type="dxa"/>
            <w:vAlign w:val="bottom"/>
            <w:gridSpan w:val="2"/>
          </w:tcPr>
          <w:p>
            <w:pPr>
              <w:jc w:val="right"/>
              <w:ind w:right="141"/>
              <w:spacing w:after="0"/>
              <w:rPr>
                <w:sz w:val="20"/>
                <w:szCs w:val="20"/>
                <w:color w:val="auto"/>
              </w:rPr>
            </w:pPr>
            <w:r>
              <w:rPr>
                <w:rFonts w:ascii="Arial" w:cs="Arial" w:eastAsia="Arial" w:hAnsi="Arial"/>
                <w:sz w:val="18"/>
                <w:szCs w:val="18"/>
                <w:color w:val="auto"/>
              </w:rPr>
              <w:t>(42,625 )</w:t>
            </w:r>
          </w:p>
        </w:tc>
        <w:tc>
          <w:tcPr>
            <w:tcW w:w="1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(59,047 )</w:t>
            </w: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(40,190 )</w:t>
            </w:r>
          </w:p>
        </w:tc>
        <w:tc>
          <w:tcPr>
            <w:tcW w:w="18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(8,927 )</w:t>
            </w:r>
          </w:p>
        </w:tc>
        <w:tc>
          <w:tcPr>
            <w:tcW w:w="0" w:type="dxa"/>
            <w:vAlign w:val="bottom"/>
          </w:tcPr>
          <w:p>
            <w:pPr>
              <w:spacing w:after="0"/>
              <w:rPr>
                <w:sz w:val="1"/>
                <w:szCs w:val="1"/>
                <w:color w:val="auto"/>
              </w:rPr>
            </w:pPr>
          </w:p>
        </w:tc>
      </w:tr>
      <w:tr>
        <w:trPr>
          <w:trHeight w:val="216"/>
        </w:trPr>
        <w:tc>
          <w:tcPr>
            <w:tcW w:w="718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8,382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52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3,299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(48,981 )</w:t>
            </w: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(28,310 )</w:t>
            </w:r>
          </w:p>
        </w:tc>
        <w:tc>
          <w:tcPr>
            <w:tcW w:w="18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(22,088 )</w:t>
            </w:r>
          </w:p>
        </w:tc>
        <w:tc>
          <w:tcPr>
            <w:tcW w:w="0" w:type="dxa"/>
            <w:vAlign w:val="bottom"/>
          </w:tcPr>
          <w:p>
            <w:pPr>
              <w:spacing w:after="0"/>
              <w:rPr>
                <w:sz w:val="1"/>
                <w:szCs w:val="1"/>
                <w:color w:val="auto"/>
              </w:rPr>
            </w:pPr>
          </w:p>
        </w:tc>
      </w:tr>
      <w:tr>
        <w:trPr>
          <w:trHeight w:val="209"/>
        </w:trPr>
        <w:tc>
          <w:tcPr>
            <w:tcW w:w="7180" w:type="dxa"/>
            <w:vAlign w:val="bottom"/>
            <w:tcBorders>
              <w:top w:val="single" w:sz="8" w:color="CFF0FC"/>
            </w:tcBorders>
          </w:tcPr>
          <w:p>
            <w:pPr>
              <w:ind w:left="78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228,132</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227,799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80"/>
              <w:spacing w:after="0"/>
              <w:rPr>
                <w:sz w:val="20"/>
                <w:szCs w:val="20"/>
                <w:color w:val="auto"/>
              </w:rPr>
            </w:pPr>
            <w:r>
              <w:rPr>
                <w:rFonts w:ascii="Arial" w:cs="Arial" w:eastAsia="Arial" w:hAnsi="Arial"/>
                <w:sz w:val="18"/>
                <w:szCs w:val="18"/>
                <w:color w:val="auto"/>
              </w:rPr>
              <w:t>Purchase of property, equipment and satellites</w:t>
            </w:r>
          </w:p>
        </w:tc>
        <w:tc>
          <w:tcPr>
            <w:tcW w:w="180" w:type="dxa"/>
            <w:vAlign w:val="bottom"/>
          </w:tcPr>
          <w:p>
            <w:pPr>
              <w:spacing w:after="0"/>
              <w:rPr>
                <w:sz w:val="18"/>
                <w:szCs w:val="18"/>
                <w:color w:val="auto"/>
              </w:rPr>
            </w:pPr>
          </w:p>
        </w:tc>
        <w:tc>
          <w:tcPr>
            <w:tcW w:w="1940" w:type="dxa"/>
            <w:vAlign w:val="bottom"/>
            <w:gridSpan w:val="2"/>
          </w:tcPr>
          <w:p>
            <w:pPr>
              <w:jc w:val="right"/>
              <w:ind w:right="141"/>
              <w:spacing w:after="0"/>
              <w:rPr>
                <w:sz w:val="20"/>
                <w:szCs w:val="20"/>
                <w:color w:val="auto"/>
              </w:rPr>
            </w:pPr>
            <w:r>
              <w:rPr>
                <w:rFonts w:ascii="Arial" w:cs="Arial" w:eastAsia="Arial" w:hAnsi="Arial"/>
                <w:sz w:val="18"/>
                <w:szCs w:val="18"/>
                <w:color w:val="auto"/>
              </w:rPr>
              <w:t>(508,068 )</w:t>
            </w:r>
          </w:p>
        </w:tc>
        <w:tc>
          <w:tcPr>
            <w:tcW w:w="1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(448,345 )</w:t>
            </w: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paid for patents, licenses and other assets</w:t>
            </w:r>
          </w:p>
        </w:tc>
        <w:tc>
          <w:tcPr>
            <w:tcW w:w="1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(46,745 )</w:t>
            </w:r>
          </w:p>
        </w:tc>
        <w:tc>
          <w:tcPr>
            <w:tcW w:w="18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(26,633 )</w:t>
            </w:r>
          </w:p>
        </w:tc>
        <w:tc>
          <w:tcPr>
            <w:tcW w:w="0" w:type="dxa"/>
            <w:vAlign w:val="bottom"/>
          </w:tcPr>
          <w:p>
            <w:pPr>
              <w:spacing w:after="0"/>
              <w:rPr>
                <w:sz w:val="1"/>
                <w:szCs w:val="1"/>
                <w:color w:val="auto"/>
              </w:rPr>
            </w:pPr>
          </w:p>
        </w:tc>
      </w:tr>
      <w:tr>
        <w:trPr>
          <w:trHeight w:val="216"/>
        </w:trPr>
        <w:tc>
          <w:tcPr>
            <w:tcW w:w="7180" w:type="dxa"/>
            <w:vAlign w:val="bottom"/>
          </w:tcPr>
          <w:p>
            <w:pPr>
              <w:ind w:left="280"/>
              <w:spacing w:after="0"/>
              <w:rPr>
                <w:sz w:val="20"/>
                <w:szCs w:val="20"/>
                <w:color w:val="auto"/>
              </w:rPr>
            </w:pPr>
            <w:r>
              <w:rPr>
                <w:rFonts w:ascii="Arial" w:cs="Arial" w:eastAsia="Arial" w:hAnsi="Arial"/>
                <w:sz w:val="18"/>
                <w:szCs w:val="18"/>
                <w:color w:val="auto"/>
              </w:rPr>
              <w:t>Payments related to acquisition of businesses, net of cash acquired</w:t>
            </w:r>
          </w:p>
        </w:tc>
        <w:tc>
          <w:tcPr>
            <w:tcW w:w="180" w:type="dxa"/>
            <w:vAlign w:val="bottom"/>
          </w:tcPr>
          <w:p>
            <w:pPr>
              <w:spacing w:after="0"/>
              <w:rPr>
                <w:sz w:val="18"/>
                <w:szCs w:val="18"/>
                <w:color w:val="auto"/>
              </w:rPr>
            </w:pPr>
          </w:p>
        </w:tc>
        <w:tc>
          <w:tcPr>
            <w:tcW w:w="19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(138,668 )</w:t>
            </w:r>
          </w:p>
        </w:tc>
        <w:tc>
          <w:tcPr>
            <w:tcW w:w="0" w:type="dxa"/>
            <w:vAlign w:val="bottom"/>
          </w:tcPr>
          <w:p>
            <w:pPr>
              <w:spacing w:after="0"/>
              <w:rPr>
                <w:sz w:val="1"/>
                <w:szCs w:val="1"/>
                <w:color w:val="auto"/>
              </w:rPr>
            </w:pPr>
          </w:p>
        </w:tc>
      </w:tr>
      <w:tr>
        <w:trPr>
          <w:trHeight w:val="209"/>
        </w:trPr>
        <w:tc>
          <w:tcPr>
            <w:tcW w:w="71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(554,813</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(613,646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debt borrowings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275,000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80"/>
              <w:spacing w:after="0"/>
              <w:rPr>
                <w:sz w:val="20"/>
                <w:szCs w:val="20"/>
                <w:color w:val="auto"/>
              </w:rPr>
            </w:pPr>
            <w:r>
              <w:rPr>
                <w:rFonts w:ascii="Arial" w:cs="Arial" w:eastAsia="Arial" w:hAnsi="Arial"/>
                <w:sz w:val="18"/>
                <w:szCs w:val="18"/>
                <w:color w:val="auto"/>
              </w:rPr>
              <w:t>Payments on debt borrowings</w:t>
            </w:r>
          </w:p>
        </w:tc>
        <w:tc>
          <w:tcPr>
            <w:tcW w:w="180" w:type="dxa"/>
            <w:vAlign w:val="bottom"/>
          </w:tcPr>
          <w:p>
            <w:pPr>
              <w:spacing w:after="0"/>
              <w:rPr>
                <w:sz w:val="18"/>
                <w:szCs w:val="18"/>
                <w:color w:val="auto"/>
              </w:rPr>
            </w:pPr>
          </w:p>
        </w:tc>
        <w:tc>
          <w:tcPr>
            <w:tcW w:w="1940" w:type="dxa"/>
            <w:vAlign w:val="bottom"/>
            <w:gridSpan w:val="2"/>
          </w:tcPr>
          <w:p>
            <w:pPr>
              <w:jc w:val="right"/>
              <w:ind w:right="141"/>
              <w:spacing w:after="0"/>
              <w:rPr>
                <w:sz w:val="20"/>
                <w:szCs w:val="20"/>
                <w:color w:val="auto"/>
              </w:rPr>
            </w:pPr>
            <w:r>
              <w:rPr>
                <w:rFonts w:ascii="Arial" w:cs="Arial" w:eastAsia="Arial" w:hAnsi="Arial"/>
                <w:sz w:val="18"/>
                <w:szCs w:val="18"/>
                <w:color w:val="auto"/>
              </w:rPr>
              <w:t>(82,348 )</w:t>
            </w:r>
          </w:p>
        </w:tc>
        <w:tc>
          <w:tcPr>
            <w:tcW w:w="1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(15,227 )</w:t>
            </w: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Payments of debt issuance costs</w:t>
            </w:r>
          </w:p>
        </w:tc>
        <w:tc>
          <w:tcPr>
            <w:tcW w:w="1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(1,511 )</w:t>
            </w:r>
          </w:p>
        </w:tc>
        <w:tc>
          <w:tcPr>
            <w:tcW w:w="18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tcPr>
          <w:p>
            <w:pPr>
              <w:ind w:left="280"/>
              <w:spacing w:after="0"/>
              <w:rPr>
                <w:sz w:val="20"/>
                <w:szCs w:val="20"/>
                <w:color w:val="auto"/>
              </w:rPr>
            </w:pPr>
            <w:r>
              <w:rPr>
                <w:rFonts w:ascii="Arial" w:cs="Arial" w:eastAsia="Arial" w:hAnsi="Arial"/>
                <w:sz w:val="18"/>
                <w:szCs w:val="18"/>
                <w:color w:val="auto"/>
              </w:rPr>
              <w:t>Repurchase of shares by majority-owned subsidiary</w:t>
            </w:r>
          </w:p>
        </w:tc>
        <w:tc>
          <w:tcPr>
            <w:tcW w:w="180" w:type="dxa"/>
            <w:vAlign w:val="bottom"/>
          </w:tcPr>
          <w:p>
            <w:pPr>
              <w:spacing w:after="0"/>
              <w:rPr>
                <w:sz w:val="18"/>
                <w:szCs w:val="18"/>
                <w:color w:val="auto"/>
              </w:rPr>
            </w:pPr>
          </w:p>
        </w:tc>
        <w:tc>
          <w:tcPr>
            <w:tcW w:w="1940" w:type="dxa"/>
            <w:vAlign w:val="bottom"/>
            <w:gridSpan w:val="2"/>
          </w:tcPr>
          <w:p>
            <w:pPr>
              <w:jc w:val="right"/>
              <w:ind w:right="141"/>
              <w:spacing w:after="0"/>
              <w:rPr>
                <w:sz w:val="20"/>
                <w:szCs w:val="20"/>
                <w:color w:val="auto"/>
              </w:rPr>
            </w:pPr>
            <w:r>
              <w:rPr>
                <w:rFonts w:ascii="Arial" w:cs="Arial" w:eastAsia="Arial" w:hAnsi="Arial"/>
                <w:sz w:val="18"/>
                <w:szCs w:val="18"/>
                <w:color w:val="auto"/>
              </w:rPr>
              <w:t>(30,000 )</w:t>
            </w:r>
          </w:p>
        </w:tc>
        <w:tc>
          <w:tcPr>
            <w:tcW w:w="180" w:type="dxa"/>
            <w:vAlign w:val="bottom"/>
          </w:tcPr>
          <w:p>
            <w:pPr>
              <w:spacing w:after="0"/>
              <w:rPr>
                <w:sz w:val="18"/>
                <w:szCs w:val="18"/>
                <w:color w:val="auto"/>
              </w:rPr>
            </w:pPr>
          </w:p>
        </w:tc>
        <w:tc>
          <w:tcPr>
            <w:tcW w:w="17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issuance of common stock under equity plans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180" w:type="dxa"/>
            <w:vAlign w:val="bottom"/>
          </w:tcPr>
          <w:p>
            <w:pPr>
              <w:ind w:left="280"/>
              <w:spacing w:after="0" w:line="189" w:lineRule="exact"/>
              <w:rPr>
                <w:sz w:val="20"/>
                <w:szCs w:val="20"/>
                <w:color w:val="auto"/>
              </w:rPr>
            </w:pPr>
            <w:r>
              <w:rPr>
                <w:rFonts w:ascii="Arial" w:cs="Arial" w:eastAsia="Arial" w:hAnsi="Arial"/>
                <w:sz w:val="18"/>
                <w:szCs w:val="18"/>
                <w:color w:val="auto"/>
              </w:rPr>
              <w:t>Purchase of common stock in treasury (immediately retired) related</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180" w:type="dxa"/>
            <w:vAlign w:val="bottom"/>
          </w:tcPr>
          <w:p>
            <w:pPr>
              <w:ind w:left="420"/>
              <w:spacing w:after="0"/>
              <w:rPr>
                <w:sz w:val="20"/>
                <w:szCs w:val="20"/>
                <w:color w:val="auto"/>
              </w:rPr>
            </w:pPr>
            <w:r>
              <w:rPr>
                <w:rFonts w:ascii="Arial" w:cs="Arial" w:eastAsia="Arial" w:hAnsi="Arial"/>
                <w:sz w:val="18"/>
                <w:szCs w:val="18"/>
                <w:color w:val="auto"/>
              </w:rPr>
              <w:t>to tax withholdings for stock-based compensation</w:t>
            </w:r>
          </w:p>
        </w:tc>
        <w:tc>
          <w:tcPr>
            <w:tcW w:w="180" w:type="dxa"/>
            <w:vAlign w:val="bottom"/>
          </w:tcPr>
          <w:p>
            <w:pPr>
              <w:spacing w:after="0"/>
              <w:rPr>
                <w:sz w:val="18"/>
                <w:szCs w:val="18"/>
                <w:color w:val="auto"/>
              </w:rPr>
            </w:pPr>
          </w:p>
        </w:tc>
        <w:tc>
          <w:tcPr>
            <w:tcW w:w="1940" w:type="dxa"/>
            <w:vAlign w:val="bottom"/>
            <w:gridSpan w:val="2"/>
          </w:tcPr>
          <w:p>
            <w:pPr>
              <w:jc w:val="right"/>
              <w:ind w:right="141"/>
              <w:spacing w:after="0"/>
              <w:rPr>
                <w:sz w:val="20"/>
                <w:szCs w:val="20"/>
                <w:color w:val="auto"/>
              </w:rPr>
            </w:pPr>
            <w:r>
              <w:rPr>
                <w:rFonts w:ascii="Arial" w:cs="Arial" w:eastAsia="Arial" w:hAnsi="Arial"/>
                <w:sz w:val="18"/>
                <w:szCs w:val="18"/>
                <w:color w:val="auto"/>
              </w:rPr>
              <w:t>(832 )</w:t>
            </w:r>
          </w:p>
        </w:tc>
        <w:tc>
          <w:tcPr>
            <w:tcW w:w="1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(1,742 )</w:t>
            </w: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financing activities</w:t>
            </w:r>
          </w:p>
        </w:tc>
        <w:tc>
          <w:tcPr>
            <w:tcW w:w="1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(1,540 )</w:t>
            </w:r>
          </w:p>
        </w:tc>
        <w:tc>
          <w:tcPr>
            <w:tcW w:w="18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(1,479 )</w:t>
            </w:r>
          </w:p>
        </w:tc>
        <w:tc>
          <w:tcPr>
            <w:tcW w:w="0" w:type="dxa"/>
            <w:vAlign w:val="bottom"/>
          </w:tcPr>
          <w:p>
            <w:pPr>
              <w:spacing w:after="0"/>
              <w:rPr>
                <w:sz w:val="1"/>
                <w:szCs w:val="1"/>
                <w:color w:val="auto"/>
              </w:rPr>
            </w:pPr>
          </w:p>
        </w:tc>
      </w:tr>
      <w:tr>
        <w:trPr>
          <w:trHeight w:val="210"/>
        </w:trPr>
        <w:tc>
          <w:tcPr>
            <w:tcW w:w="718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168,395</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310,328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(3,001 )</w:t>
            </w:r>
          </w:p>
        </w:tc>
        <w:tc>
          <w:tcPr>
            <w:tcW w:w="18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(2,776 )</w:t>
            </w:r>
          </w:p>
        </w:tc>
        <w:tc>
          <w:tcPr>
            <w:tcW w:w="0" w:type="dxa"/>
            <w:vAlign w:val="bottom"/>
          </w:tcPr>
          <w:p>
            <w:pPr>
              <w:spacing w:after="0"/>
              <w:rPr>
                <w:sz w:val="1"/>
                <w:szCs w:val="1"/>
                <w:color w:val="auto"/>
              </w:rPr>
            </w:pPr>
          </w:p>
        </w:tc>
      </w:tr>
      <w:tr>
        <w:trPr>
          <w:trHeight w:val="20"/>
        </w:trPr>
        <w:tc>
          <w:tcPr>
            <w:tcW w:w="7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spacing w:after="0"/>
              <w:rPr>
                <w:sz w:val="18"/>
                <w:szCs w:val="18"/>
                <w:color w:val="auto"/>
              </w:rPr>
            </w:pPr>
          </w:p>
        </w:tc>
        <w:tc>
          <w:tcPr>
            <w:tcW w:w="1940" w:type="dxa"/>
            <w:vAlign w:val="bottom"/>
            <w:gridSpan w:val="2"/>
          </w:tcPr>
          <w:p>
            <w:pPr>
              <w:jc w:val="right"/>
              <w:ind w:right="141"/>
              <w:spacing w:after="0"/>
              <w:rPr>
                <w:sz w:val="20"/>
                <w:szCs w:val="20"/>
                <w:color w:val="auto"/>
              </w:rPr>
            </w:pPr>
            <w:r>
              <w:rPr>
                <w:rFonts w:ascii="Arial" w:cs="Arial" w:eastAsia="Arial" w:hAnsi="Arial"/>
                <w:sz w:val="18"/>
                <w:szCs w:val="18"/>
                <w:color w:val="auto"/>
              </w:rPr>
              <w:t>(161,287 )</w:t>
            </w:r>
          </w:p>
        </w:tc>
        <w:tc>
          <w:tcPr>
            <w:tcW w:w="1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(78,295 )</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310,459</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295,949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149,172</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Non-cash investing and financing activities:</w:t>
            </w: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8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3,499</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18,099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 of common stock in satisfaction of certain accrued compensation liabilities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80"/>
              <w:spacing w:after="0"/>
              <w:rPr>
                <w:sz w:val="20"/>
                <w:szCs w:val="20"/>
                <w:color w:val="auto"/>
              </w:rPr>
            </w:pPr>
            <w:r>
              <w:rPr>
                <w:rFonts w:ascii="Arial" w:cs="Arial" w:eastAsia="Arial" w:hAnsi="Arial"/>
                <w:sz w:val="18"/>
                <w:szCs w:val="18"/>
                <w:color w:val="auto"/>
              </w:rPr>
              <w:t>Capital expenditures not paid for during the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45,688</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27,903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 of common stock in connection with acquisition</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-3479800</wp:posOffset>
            </wp:positionV>
            <wp:extent cx="6858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-3479800</wp:posOffset>
            </wp:positionV>
            <wp:extent cx="6858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-1422400</wp:posOffset>
            </wp:positionV>
            <wp:extent cx="6858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-1139190</wp:posOffset>
            </wp:positionV>
            <wp:extent cx="6858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-856615</wp:posOffset>
            </wp:positionV>
            <wp:extent cx="685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ind w:left="5060"/>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3"/>
                <w:szCs w:val="13"/>
                <w:b w:val="1"/>
                <w:bCs w:val="1"/>
                <w:color w:val="auto"/>
              </w:rPr>
              <w:t>Viasat, Inc. Stockholders</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64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center"/>
              <w:ind w:right="300"/>
              <w:spacing w:after="0" w:line="102" w:lineRule="exact"/>
              <w:rPr>
                <w:sz w:val="20"/>
                <w:szCs w:val="20"/>
                <w:color w:val="auto"/>
              </w:rPr>
            </w:pPr>
            <w:r>
              <w:rPr>
                <w:rFonts w:ascii="Arial" w:cs="Arial" w:eastAsia="Arial" w:hAnsi="Arial"/>
                <w:sz w:val="10"/>
                <w:szCs w:val="10"/>
                <w:b w:val="1"/>
                <w:bCs w:val="1"/>
                <w:color w:val="auto"/>
              </w:rPr>
              <w:t>Accumulated</w:t>
            </w: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right"/>
              <w:ind w:right="317"/>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1"/>
                <w:szCs w:val="11"/>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w w:val="94"/>
              </w:rPr>
              <w:t>Retained</w:t>
            </w:r>
          </w:p>
        </w:tc>
        <w:tc>
          <w:tcPr>
            <w:tcW w:w="10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Other</w:t>
            </w:r>
          </w:p>
        </w:tc>
        <w:tc>
          <w:tcPr>
            <w:tcW w:w="124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Noncontrolling</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92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Shares</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80" w:type="dxa"/>
            <w:vAlign w:val="bottom"/>
            <w:gridSpan w:val="3"/>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0"/>
                <w:szCs w:val="10"/>
                <w:color w:val="auto"/>
              </w:rPr>
            </w:pPr>
          </w:p>
        </w:tc>
        <w:tc>
          <w:tcPr>
            <w:tcW w:w="1100" w:type="dxa"/>
            <w:vAlign w:val="bottom"/>
            <w:gridSpan w:val="2"/>
          </w:tcPr>
          <w:p>
            <w:pPr>
              <w:jc w:val="center"/>
              <w:ind w:right="340"/>
              <w:spacing w:after="0" w:line="122" w:lineRule="exact"/>
              <w:rPr>
                <w:sz w:val="20"/>
                <w:szCs w:val="20"/>
                <w:color w:val="auto"/>
              </w:rPr>
            </w:pPr>
            <w:r>
              <w:rPr>
                <w:rFonts w:ascii="Arial" w:cs="Arial" w:eastAsia="Arial" w:hAnsi="Arial"/>
                <w:sz w:val="13"/>
                <w:szCs w:val="13"/>
                <w:b w:val="1"/>
                <w:bCs w:val="1"/>
                <w:color w:val="auto"/>
                <w:w w:val="96"/>
              </w:rPr>
              <w:t>Interest in</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9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Issued</w:t>
            </w:r>
          </w:p>
        </w:tc>
        <w:tc>
          <w:tcPr>
            <w:tcW w:w="22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6"/>
              </w:rPr>
              <w:t>Capital</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3"/>
              </w:rPr>
              <w:t>Earnings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7"/>
              </w:rPr>
              <w:t>Income (Loss)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Subsidiary</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(In</w:t>
            </w:r>
          </w:p>
        </w:tc>
        <w:tc>
          <w:tcPr>
            <w:tcW w:w="2400" w:type="dxa"/>
            <w:vAlign w:val="bottom"/>
            <w:gridSpan w:val="7"/>
          </w:tcPr>
          <w:p>
            <w:pPr>
              <w:jc w:val="right"/>
              <w:ind w:right="580"/>
              <w:spacing w:after="0"/>
              <w:rPr>
                <w:sz w:val="20"/>
                <w:szCs w:val="20"/>
                <w:color w:val="auto"/>
              </w:rPr>
            </w:pPr>
            <w:r>
              <w:rPr>
                <w:rFonts w:ascii="Arial" w:cs="Arial" w:eastAsia="Arial" w:hAnsi="Arial"/>
                <w:sz w:val="13"/>
                <w:szCs w:val="13"/>
                <w:b w:val="1"/>
                <w:bCs w:val="1"/>
                <w:color w:val="auto"/>
                <w:w w:val="96"/>
              </w:rPr>
              <w:t>thousands, except share data)</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For the Three Months Ended September 30, 2022</w:t>
            </w: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920" w:type="dxa"/>
            <w:vAlign w:val="bottom"/>
          </w:tcPr>
          <w:p>
            <w:pPr>
              <w:ind w:left="20"/>
              <w:spacing w:after="0" w:line="116" w:lineRule="exact"/>
              <w:rPr>
                <w:sz w:val="20"/>
                <w:szCs w:val="20"/>
                <w:color w:val="auto"/>
              </w:rPr>
            </w:pPr>
            <w:r>
              <w:rPr>
                <w:rFonts w:ascii="Arial" w:cs="Arial" w:eastAsia="Arial" w:hAnsi="Arial"/>
                <w:sz w:val="13"/>
                <w:szCs w:val="13"/>
                <w:color w:val="auto"/>
              </w:rPr>
              <w:t>Balance at June 30, 2022</w:t>
            </w:r>
          </w:p>
        </w:tc>
        <w:tc>
          <w:tcPr>
            <w:tcW w:w="760" w:type="dxa"/>
            <w:vAlign w:val="bottom"/>
          </w:tcPr>
          <w:p>
            <w:pPr>
              <w:jc w:val="right"/>
              <w:spacing w:after="0" w:line="116" w:lineRule="exact"/>
              <w:rPr>
                <w:sz w:val="20"/>
                <w:szCs w:val="20"/>
                <w:color w:val="auto"/>
              </w:rPr>
            </w:pPr>
            <w:r>
              <w:rPr>
                <w:rFonts w:ascii="Arial" w:cs="Arial" w:eastAsia="Arial" w:hAnsi="Arial"/>
                <w:sz w:val="13"/>
                <w:szCs w:val="13"/>
                <w:color w:val="auto"/>
              </w:rPr>
              <w:t>75,551,82</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w:t>
            </w:r>
          </w:p>
        </w:tc>
        <w:tc>
          <w:tcPr>
            <w:tcW w:w="880" w:type="dxa"/>
            <w:vAlign w:val="bottom"/>
            <w:gridSpan w:val="2"/>
          </w:tcPr>
          <w:p>
            <w:pPr>
              <w:jc w:val="right"/>
              <w:ind w:right="49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8</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2,482,847</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211,966</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(41,962 )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49,253</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2,702,112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26,046</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920" w:type="dxa"/>
            <w:vAlign w:val="bottom"/>
          </w:tcPr>
          <w:p>
            <w:pPr>
              <w:ind w:left="20"/>
              <w:spacing w:after="0" w:line="116" w:lineRule="exact"/>
              <w:rPr>
                <w:sz w:val="20"/>
                <w:szCs w:val="20"/>
                <w:color w:val="auto"/>
              </w:rPr>
            </w:pPr>
            <w:r>
              <w:rPr>
                <w:rFonts w:ascii="Arial" w:cs="Arial" w:eastAsia="Arial" w:hAnsi="Arial"/>
                <w:sz w:val="13"/>
                <w:szCs w:val="13"/>
                <w:color w:val="auto"/>
              </w:rPr>
              <w:t>RSU awards vesting, net of shares withheld for taxes</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20" w:type="dxa"/>
            <w:vAlign w:val="bottom"/>
          </w:tcPr>
          <w:p>
            <w:pPr>
              <w:ind w:left="120"/>
              <w:spacing w:after="0"/>
              <w:rPr>
                <w:sz w:val="20"/>
                <w:szCs w:val="20"/>
                <w:color w:val="auto"/>
              </w:rPr>
            </w:pPr>
            <w:r>
              <w:rPr>
                <w:rFonts w:ascii="Arial" w:cs="Arial" w:eastAsia="Arial" w:hAnsi="Arial"/>
                <w:sz w:val="13"/>
                <w:szCs w:val="13"/>
                <w:color w:val="auto"/>
              </w:rPr>
              <w:t>which have been retired</w:t>
            </w:r>
          </w:p>
        </w:tc>
        <w:tc>
          <w:tcPr>
            <w:tcW w:w="760" w:type="dxa"/>
            <w:vAlign w:val="bottom"/>
          </w:tcPr>
          <w:p>
            <w:pPr>
              <w:jc w:val="right"/>
              <w:spacing w:after="0"/>
              <w:rPr>
                <w:sz w:val="20"/>
                <w:szCs w:val="20"/>
                <w:color w:val="auto"/>
              </w:rPr>
            </w:pPr>
            <w:r>
              <w:rPr>
                <w:rFonts w:ascii="Arial" w:cs="Arial" w:eastAsia="Arial" w:hAnsi="Arial"/>
                <w:sz w:val="13"/>
                <w:szCs w:val="13"/>
                <w:color w:val="auto"/>
              </w:rPr>
              <w:t>33,398</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97"/>
              <w:spacing w:after="0"/>
              <w:rPr>
                <w:sz w:val="20"/>
                <w:szCs w:val="20"/>
                <w:color w:val="auto"/>
              </w:rPr>
            </w:pPr>
            <w:r>
              <w:rPr>
                <w:rFonts w:ascii="Arial" w:cs="Arial" w:eastAsia="Arial" w:hAnsi="Arial"/>
                <w:sz w:val="13"/>
                <w:szCs w:val="13"/>
                <w:color w:val="auto"/>
              </w:rPr>
              <w:t>(327 )</w:t>
            </w:r>
          </w:p>
        </w:tc>
        <w:tc>
          <w:tcPr>
            <w:tcW w:w="1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(327 )</w:t>
            </w:r>
          </w:p>
        </w:tc>
        <w:tc>
          <w:tcPr>
            <w:tcW w:w="0" w:type="dxa"/>
            <w:vAlign w:val="bottom"/>
          </w:tcPr>
          <w:p>
            <w:pPr>
              <w:spacing w:after="0"/>
              <w:rPr>
                <w:sz w:val="1"/>
                <w:szCs w:val="1"/>
                <w:color w:val="auto"/>
              </w:rPr>
            </w:pPr>
          </w:p>
        </w:tc>
      </w:tr>
      <w:tr>
        <w:trPr>
          <w:trHeight w:val="170"/>
        </w:trPr>
        <w:tc>
          <w:tcPr>
            <w:tcW w:w="3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noncontrolling interest activity</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(11,783 )</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(18,306 )</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(30,089 )</w:t>
            </w:r>
          </w:p>
        </w:tc>
        <w:tc>
          <w:tcPr>
            <w:tcW w:w="0" w:type="dxa"/>
            <w:vAlign w:val="bottom"/>
          </w:tcPr>
          <w:p>
            <w:pPr>
              <w:spacing w:after="0"/>
              <w:rPr>
                <w:sz w:val="1"/>
                <w:szCs w:val="1"/>
                <w:color w:val="auto"/>
              </w:rPr>
            </w:pPr>
          </w:p>
        </w:tc>
      </w:tr>
      <w:tr>
        <w:trPr>
          <w:trHeight w:val="157"/>
        </w:trPr>
        <w:tc>
          <w:tcPr>
            <w:tcW w:w="39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(48,240 )</w:t>
            </w:r>
          </w:p>
        </w:tc>
        <w:tc>
          <w:tcPr>
            <w:tcW w:w="1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684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(47,556 )</w:t>
            </w: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(21,995 )</w:t>
            </w: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(21,995 )</w:t>
            </w:r>
          </w:p>
        </w:tc>
        <w:tc>
          <w:tcPr>
            <w:tcW w:w="0" w:type="dxa"/>
            <w:vAlign w:val="bottom"/>
          </w:tcPr>
          <w:p>
            <w:pPr>
              <w:spacing w:after="0"/>
              <w:rPr>
                <w:sz w:val="1"/>
                <w:szCs w:val="1"/>
                <w:color w:val="auto"/>
              </w:rPr>
            </w:pPr>
          </w:p>
        </w:tc>
      </w:tr>
      <w:tr>
        <w:trPr>
          <w:trHeight w:val="114"/>
        </w:trPr>
        <w:tc>
          <w:tcPr>
            <w:tcW w:w="3920" w:type="dxa"/>
            <w:vAlign w:val="bottom"/>
            <w:tcBorders>
              <w:top w:val="single" w:sz="8" w:color="CFF0FC"/>
            </w:tcBorders>
          </w:tcPr>
          <w:p>
            <w:pPr>
              <w:ind w:left="20"/>
              <w:spacing w:after="0" w:line="114" w:lineRule="exact"/>
              <w:rPr>
                <w:sz w:val="20"/>
                <w:szCs w:val="20"/>
                <w:color w:val="auto"/>
              </w:rPr>
            </w:pPr>
            <w:r>
              <w:rPr>
                <w:rFonts w:ascii="Arial" w:cs="Arial" w:eastAsia="Arial" w:hAnsi="Arial"/>
                <w:sz w:val="13"/>
                <w:szCs w:val="13"/>
                <w:color w:val="auto"/>
              </w:rPr>
              <w:t>Balance at September 30, 2022</w:t>
            </w:r>
          </w:p>
        </w:tc>
        <w:tc>
          <w:tcPr>
            <w:tcW w:w="76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75,585,22</w:t>
            </w:r>
          </w:p>
        </w:tc>
        <w:tc>
          <w:tcPr>
            <w:tcW w:w="220" w:type="dxa"/>
            <w:vAlign w:val="bottom"/>
            <w:tcBorders>
              <w:top w:val="single" w:sz="8" w:color="CFF0FC"/>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9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880" w:type="dxa"/>
            <w:vAlign w:val="bottom"/>
            <w:gridSpan w:val="2"/>
          </w:tcPr>
          <w:p>
            <w:pPr>
              <w:jc w:val="right"/>
              <w:ind w:right="49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8</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2,496,783</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163,726</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(63,957 )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31,631</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2,628,191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9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20"/>
              <w:spacing w:after="0"/>
              <w:rPr>
                <w:sz w:val="20"/>
                <w:szCs w:val="20"/>
                <w:color w:val="auto"/>
              </w:rPr>
            </w:pPr>
            <w:r>
              <w:rPr>
                <w:rFonts w:ascii="Arial" w:cs="Arial" w:eastAsia="Arial" w:hAnsi="Arial"/>
                <w:sz w:val="13"/>
                <w:szCs w:val="13"/>
                <w:b w:val="1"/>
                <w:bCs w:val="1"/>
                <w:color w:val="auto"/>
              </w:rPr>
              <w:t>For the Three Months Ended September 30, 2021</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920" w:type="dxa"/>
            <w:vAlign w:val="bottom"/>
            <w:shd w:val="clear" w:color="auto" w:fill="CFF0FC"/>
          </w:tcPr>
          <w:p>
            <w:pPr>
              <w:ind w:left="20"/>
              <w:spacing w:after="0" w:line="116" w:lineRule="exact"/>
              <w:rPr>
                <w:sz w:val="20"/>
                <w:szCs w:val="20"/>
                <w:color w:val="auto"/>
              </w:rPr>
            </w:pPr>
            <w:r>
              <w:rPr>
                <w:rFonts w:ascii="Arial" w:cs="Arial" w:eastAsia="Arial" w:hAnsi="Arial"/>
                <w:sz w:val="13"/>
                <w:szCs w:val="13"/>
                <w:color w:val="auto"/>
              </w:rPr>
              <w:t>Balance at June 30, 2021</w:t>
            </w:r>
          </w:p>
        </w:tc>
        <w:tc>
          <w:tcPr>
            <w:tcW w:w="760" w:type="dxa"/>
            <w:vAlign w:val="bottom"/>
            <w:shd w:val="clear" w:color="auto" w:fill="CFF0FC"/>
          </w:tcPr>
          <w:p>
            <w:pPr>
              <w:jc w:val="right"/>
              <w:spacing w:after="0" w:line="116" w:lineRule="exact"/>
              <w:rPr>
                <w:sz w:val="20"/>
                <w:szCs w:val="20"/>
                <w:color w:val="auto"/>
              </w:rPr>
            </w:pPr>
            <w:r>
              <w:rPr>
                <w:rFonts w:ascii="Arial" w:cs="Arial" w:eastAsia="Arial" w:hAnsi="Arial"/>
                <w:sz w:val="13"/>
                <w:szCs w:val="13"/>
                <w:color w:val="auto"/>
              </w:rPr>
              <w:t>73,320,85</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9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880" w:type="dxa"/>
            <w:vAlign w:val="bottom"/>
            <w:gridSpan w:val="2"/>
            <w:shd w:val="clear" w:color="auto" w:fill="CFF0FC"/>
          </w:tcPr>
          <w:p>
            <w:pPr>
              <w:jc w:val="right"/>
              <w:ind w:right="49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2,360,023</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266,032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(5,939 )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36,887</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2,657,010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2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760" w:type="dxa"/>
            <w:vAlign w:val="bottom"/>
          </w:tcPr>
          <w:p>
            <w:pPr>
              <w:jc w:val="right"/>
              <w:spacing w:after="0"/>
              <w:rPr>
                <w:sz w:val="20"/>
                <w:szCs w:val="20"/>
                <w:color w:val="auto"/>
              </w:rPr>
            </w:pPr>
            <w:r>
              <w:rPr>
                <w:rFonts w:ascii="Arial" w:cs="Arial" w:eastAsia="Arial" w:hAnsi="Arial"/>
                <w:sz w:val="13"/>
                <w:szCs w:val="13"/>
                <w:color w:val="auto"/>
              </w:rPr>
              <w:t>1,894</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23,558</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920" w:type="dxa"/>
            <w:vAlign w:val="bottom"/>
          </w:tcPr>
          <w:p>
            <w:pPr>
              <w:ind w:left="20"/>
              <w:spacing w:after="0" w:line="116" w:lineRule="exact"/>
              <w:rPr>
                <w:sz w:val="20"/>
                <w:szCs w:val="20"/>
                <w:color w:val="auto"/>
              </w:rPr>
            </w:pPr>
            <w:r>
              <w:rPr>
                <w:rFonts w:ascii="Arial" w:cs="Arial" w:eastAsia="Arial" w:hAnsi="Arial"/>
                <w:sz w:val="13"/>
                <w:szCs w:val="13"/>
                <w:color w:val="auto"/>
              </w:rPr>
              <w:t>RSU awards vesting, net of shares withheld for taxes</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20" w:type="dxa"/>
            <w:vAlign w:val="bottom"/>
          </w:tcPr>
          <w:p>
            <w:pPr>
              <w:ind w:left="120"/>
              <w:spacing w:after="0"/>
              <w:rPr>
                <w:sz w:val="20"/>
                <w:szCs w:val="20"/>
                <w:color w:val="auto"/>
              </w:rPr>
            </w:pPr>
            <w:r>
              <w:rPr>
                <w:rFonts w:ascii="Arial" w:cs="Arial" w:eastAsia="Arial" w:hAnsi="Arial"/>
                <w:sz w:val="13"/>
                <w:szCs w:val="13"/>
                <w:color w:val="auto"/>
              </w:rPr>
              <w:t>which have been retired</w:t>
            </w:r>
          </w:p>
        </w:tc>
        <w:tc>
          <w:tcPr>
            <w:tcW w:w="760" w:type="dxa"/>
            <w:vAlign w:val="bottom"/>
          </w:tcPr>
          <w:p>
            <w:pPr>
              <w:jc w:val="right"/>
              <w:spacing w:after="0"/>
              <w:rPr>
                <w:sz w:val="20"/>
                <w:szCs w:val="20"/>
                <w:color w:val="auto"/>
              </w:rPr>
            </w:pPr>
            <w:r>
              <w:rPr>
                <w:rFonts w:ascii="Arial" w:cs="Arial" w:eastAsia="Arial" w:hAnsi="Arial"/>
                <w:sz w:val="13"/>
                <w:szCs w:val="13"/>
                <w:color w:val="auto"/>
              </w:rPr>
              <w:t>75,330</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97"/>
              <w:spacing w:after="0"/>
              <w:rPr>
                <w:sz w:val="20"/>
                <w:szCs w:val="20"/>
                <w:color w:val="auto"/>
              </w:rPr>
            </w:pPr>
            <w:r>
              <w:rPr>
                <w:rFonts w:ascii="Arial" w:cs="Arial" w:eastAsia="Arial" w:hAnsi="Arial"/>
                <w:sz w:val="13"/>
                <w:szCs w:val="13"/>
                <w:color w:val="auto"/>
              </w:rPr>
              <w:t>(1,284 )</w:t>
            </w:r>
          </w:p>
        </w:tc>
        <w:tc>
          <w:tcPr>
            <w:tcW w:w="1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(1,284 )</w:t>
            </w:r>
          </w:p>
        </w:tc>
        <w:tc>
          <w:tcPr>
            <w:tcW w:w="0" w:type="dxa"/>
            <w:vAlign w:val="bottom"/>
          </w:tcPr>
          <w:p>
            <w:pPr>
              <w:spacing w:after="0"/>
              <w:rPr>
                <w:sz w:val="1"/>
                <w:szCs w:val="1"/>
                <w:color w:val="auto"/>
              </w:rPr>
            </w:pPr>
          </w:p>
        </w:tc>
      </w:tr>
      <w:tr>
        <w:trPr>
          <w:trHeight w:val="170"/>
        </w:trPr>
        <w:tc>
          <w:tcPr>
            <w:tcW w:w="3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(89 )</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(89 )</w:t>
            </w:r>
          </w:p>
        </w:tc>
        <w:tc>
          <w:tcPr>
            <w:tcW w:w="0" w:type="dxa"/>
            <w:vAlign w:val="bottom"/>
          </w:tcPr>
          <w:p>
            <w:pPr>
              <w:spacing w:after="0"/>
              <w:rPr>
                <w:sz w:val="1"/>
                <w:szCs w:val="1"/>
                <w:color w:val="auto"/>
              </w:rPr>
            </w:pPr>
          </w:p>
        </w:tc>
      </w:tr>
      <w:tr>
        <w:trPr>
          <w:trHeight w:val="157"/>
        </w:trPr>
        <w:tc>
          <w:tcPr>
            <w:tcW w:w="39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3,291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1,859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(10,934 )</w:t>
            </w: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(10,934 )</w:t>
            </w:r>
          </w:p>
        </w:tc>
        <w:tc>
          <w:tcPr>
            <w:tcW w:w="0" w:type="dxa"/>
            <w:vAlign w:val="bottom"/>
          </w:tcPr>
          <w:p>
            <w:pPr>
              <w:spacing w:after="0"/>
              <w:rPr>
                <w:sz w:val="1"/>
                <w:szCs w:val="1"/>
                <w:color w:val="auto"/>
              </w:rPr>
            </w:pPr>
          </w:p>
        </w:tc>
      </w:tr>
      <w:tr>
        <w:trPr>
          <w:trHeight w:val="114"/>
        </w:trPr>
        <w:tc>
          <w:tcPr>
            <w:tcW w:w="3920" w:type="dxa"/>
            <w:vAlign w:val="bottom"/>
            <w:tcBorders>
              <w:top w:val="single" w:sz="8" w:color="CFF0FC"/>
            </w:tcBorders>
          </w:tcPr>
          <w:p>
            <w:pPr>
              <w:ind w:left="20"/>
              <w:spacing w:after="0" w:line="114" w:lineRule="exact"/>
              <w:rPr>
                <w:sz w:val="20"/>
                <w:szCs w:val="20"/>
                <w:color w:val="auto"/>
              </w:rPr>
            </w:pPr>
            <w:r>
              <w:rPr>
                <w:rFonts w:ascii="Arial" w:cs="Arial" w:eastAsia="Arial" w:hAnsi="Arial"/>
                <w:sz w:val="13"/>
                <w:szCs w:val="13"/>
                <w:color w:val="auto"/>
              </w:rPr>
              <w:t>Balance at September 30, 2021</w:t>
            </w:r>
          </w:p>
        </w:tc>
        <w:tc>
          <w:tcPr>
            <w:tcW w:w="76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73,398,07</w:t>
            </w:r>
          </w:p>
        </w:tc>
        <w:tc>
          <w:tcPr>
            <w:tcW w:w="220" w:type="dxa"/>
            <w:vAlign w:val="bottom"/>
            <w:tcBorders>
              <w:top w:val="single" w:sz="8" w:color="CFF0FC"/>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9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w:t>
            </w:r>
          </w:p>
        </w:tc>
        <w:tc>
          <w:tcPr>
            <w:tcW w:w="880" w:type="dxa"/>
            <w:vAlign w:val="bottom"/>
            <w:gridSpan w:val="2"/>
          </w:tcPr>
          <w:p>
            <w:pPr>
              <w:jc w:val="right"/>
              <w:ind w:right="49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7</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2,382,356</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269,323</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(16,873 )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38,657</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2,673,470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-1542415</wp:posOffset>
            </wp:positionV>
            <wp:extent cx="76835" cy="222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-1542415</wp:posOffset>
            </wp:positionV>
            <wp:extent cx="77470" cy="222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22288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-1542415</wp:posOffset>
            </wp:positionV>
            <wp:extent cx="76835" cy="2228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-1542415</wp:posOffset>
            </wp:positionV>
            <wp:extent cx="68580" cy="222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-1542415</wp:posOffset>
            </wp:positionV>
            <wp:extent cx="68580" cy="2228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-1542415</wp:posOffset>
            </wp:positionV>
            <wp:extent cx="68580" cy="222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222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-222250</wp:posOffset>
            </wp:positionV>
            <wp:extent cx="76835" cy="222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-222250</wp:posOffset>
            </wp:positionV>
            <wp:extent cx="77470" cy="222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22288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-222250</wp:posOffset>
            </wp:positionV>
            <wp:extent cx="76835" cy="222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-222250</wp:posOffset>
            </wp:positionV>
            <wp:extent cx="68580"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-222250</wp:posOffset>
            </wp:positionV>
            <wp:extent cx="68580" cy="222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-222250</wp:posOffset>
            </wp:positionV>
            <wp:extent cx="68580" cy="2228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222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22288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ind w:left="5060"/>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3"/>
                <w:szCs w:val="13"/>
                <w:b w:val="1"/>
                <w:bCs w:val="1"/>
                <w:color w:val="auto"/>
              </w:rPr>
              <w:t>Viasat, Inc. Stockholders</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64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center"/>
              <w:ind w:right="300"/>
              <w:spacing w:after="0" w:line="102" w:lineRule="exact"/>
              <w:rPr>
                <w:sz w:val="20"/>
                <w:szCs w:val="20"/>
                <w:color w:val="auto"/>
              </w:rPr>
            </w:pPr>
            <w:r>
              <w:rPr>
                <w:rFonts w:ascii="Arial" w:cs="Arial" w:eastAsia="Arial" w:hAnsi="Arial"/>
                <w:sz w:val="10"/>
                <w:szCs w:val="10"/>
                <w:b w:val="1"/>
                <w:bCs w:val="1"/>
                <w:color w:val="auto"/>
              </w:rPr>
              <w:t>Accumulated</w:t>
            </w: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right"/>
              <w:ind w:right="317"/>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1"/>
                <w:szCs w:val="11"/>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w w:val="94"/>
              </w:rPr>
              <w:t>Retained</w:t>
            </w:r>
          </w:p>
        </w:tc>
        <w:tc>
          <w:tcPr>
            <w:tcW w:w="10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Other</w:t>
            </w:r>
          </w:p>
        </w:tc>
        <w:tc>
          <w:tcPr>
            <w:tcW w:w="124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Noncontrolling</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92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Shares</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80" w:type="dxa"/>
            <w:vAlign w:val="bottom"/>
            <w:gridSpan w:val="3"/>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0"/>
                <w:szCs w:val="10"/>
                <w:color w:val="auto"/>
              </w:rPr>
            </w:pPr>
          </w:p>
        </w:tc>
        <w:tc>
          <w:tcPr>
            <w:tcW w:w="1100" w:type="dxa"/>
            <w:vAlign w:val="bottom"/>
            <w:gridSpan w:val="2"/>
          </w:tcPr>
          <w:p>
            <w:pPr>
              <w:jc w:val="center"/>
              <w:ind w:right="340"/>
              <w:spacing w:after="0" w:line="122" w:lineRule="exact"/>
              <w:rPr>
                <w:sz w:val="20"/>
                <w:szCs w:val="20"/>
                <w:color w:val="auto"/>
              </w:rPr>
            </w:pPr>
            <w:r>
              <w:rPr>
                <w:rFonts w:ascii="Arial" w:cs="Arial" w:eastAsia="Arial" w:hAnsi="Arial"/>
                <w:sz w:val="13"/>
                <w:szCs w:val="13"/>
                <w:b w:val="1"/>
                <w:bCs w:val="1"/>
                <w:color w:val="auto"/>
                <w:w w:val="96"/>
              </w:rPr>
              <w:t>Interest in</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9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Issued</w:t>
            </w:r>
          </w:p>
        </w:tc>
        <w:tc>
          <w:tcPr>
            <w:tcW w:w="22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6"/>
              </w:rPr>
              <w:t>Capital</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3"/>
              </w:rPr>
              <w:t>Earnings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7"/>
              </w:rPr>
              <w:t>Income (Loss)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Subsidiary</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(In</w:t>
            </w:r>
          </w:p>
        </w:tc>
        <w:tc>
          <w:tcPr>
            <w:tcW w:w="2400" w:type="dxa"/>
            <w:vAlign w:val="bottom"/>
            <w:gridSpan w:val="7"/>
          </w:tcPr>
          <w:p>
            <w:pPr>
              <w:jc w:val="right"/>
              <w:ind w:right="580"/>
              <w:spacing w:after="0"/>
              <w:rPr>
                <w:sz w:val="20"/>
                <w:szCs w:val="20"/>
                <w:color w:val="auto"/>
              </w:rPr>
            </w:pPr>
            <w:r>
              <w:rPr>
                <w:rFonts w:ascii="Arial" w:cs="Arial" w:eastAsia="Arial" w:hAnsi="Arial"/>
                <w:sz w:val="13"/>
                <w:szCs w:val="13"/>
                <w:b w:val="1"/>
                <w:bCs w:val="1"/>
                <w:color w:val="auto"/>
                <w:w w:val="96"/>
              </w:rPr>
              <w:t>thousands, except share data)</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For the Six Months Ended September 30, 2022</w:t>
            </w: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920" w:type="dxa"/>
            <w:vAlign w:val="bottom"/>
          </w:tcPr>
          <w:p>
            <w:pPr>
              <w:ind w:left="20"/>
              <w:spacing w:after="0" w:line="116" w:lineRule="exact"/>
              <w:rPr>
                <w:sz w:val="20"/>
                <w:szCs w:val="20"/>
                <w:color w:val="auto"/>
              </w:rPr>
            </w:pPr>
            <w:r>
              <w:rPr>
                <w:rFonts w:ascii="Arial" w:cs="Arial" w:eastAsia="Arial" w:hAnsi="Arial"/>
                <w:sz w:val="13"/>
                <w:szCs w:val="13"/>
                <w:color w:val="auto"/>
              </w:rPr>
              <w:t>Balance at March 31, 2022</w:t>
            </w:r>
          </w:p>
        </w:tc>
        <w:tc>
          <w:tcPr>
            <w:tcW w:w="760" w:type="dxa"/>
            <w:vAlign w:val="bottom"/>
          </w:tcPr>
          <w:p>
            <w:pPr>
              <w:jc w:val="right"/>
              <w:spacing w:after="0" w:line="116" w:lineRule="exact"/>
              <w:rPr>
                <w:sz w:val="20"/>
                <w:szCs w:val="20"/>
                <w:color w:val="auto"/>
              </w:rPr>
            </w:pPr>
            <w:r>
              <w:rPr>
                <w:rFonts w:ascii="Arial" w:cs="Arial" w:eastAsia="Arial" w:hAnsi="Arial"/>
                <w:sz w:val="13"/>
                <w:szCs w:val="13"/>
                <w:color w:val="auto"/>
              </w:rPr>
              <w:t>74,428,81</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w:t>
            </w:r>
          </w:p>
        </w:tc>
        <w:tc>
          <w:tcPr>
            <w:tcW w:w="880" w:type="dxa"/>
            <w:vAlign w:val="bottom"/>
            <w:gridSpan w:val="2"/>
          </w:tcPr>
          <w:p>
            <w:pPr>
              <w:jc w:val="right"/>
              <w:ind w:right="49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7</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2,421,950</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233,530</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(21,621 )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48,728</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2,682,594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92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rPr>
              <w:t>Issuance of stock under Employee Stock Purchase</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9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Plan</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369,712</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9,626</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9,626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50,204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50,204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920" w:type="dxa"/>
            <w:vAlign w:val="bottom"/>
            <w:shd w:val="clear" w:color="auto" w:fill="CFF0FC"/>
          </w:tcPr>
          <w:p>
            <w:pPr>
              <w:ind w:left="20"/>
              <w:spacing w:after="0" w:line="121" w:lineRule="exact"/>
              <w:rPr>
                <w:sz w:val="20"/>
                <w:szCs w:val="20"/>
                <w:color w:val="auto"/>
              </w:rPr>
            </w:pPr>
            <w:r>
              <w:rPr>
                <w:rFonts w:ascii="Arial" w:cs="Arial" w:eastAsia="Arial" w:hAnsi="Arial"/>
                <w:sz w:val="13"/>
                <w:szCs w:val="13"/>
                <w:color w:val="auto"/>
              </w:rPr>
              <w:t>Shares issued in settlement of certain accrued</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9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employee compensation liabilities</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719,989</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27,618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27,619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920" w:type="dxa"/>
            <w:vAlign w:val="bottom"/>
          </w:tcPr>
          <w:p>
            <w:pPr>
              <w:ind w:left="20"/>
              <w:spacing w:after="0" w:line="116" w:lineRule="exact"/>
              <w:rPr>
                <w:sz w:val="20"/>
                <w:szCs w:val="20"/>
                <w:color w:val="auto"/>
              </w:rPr>
            </w:pPr>
            <w:r>
              <w:rPr>
                <w:rFonts w:ascii="Arial" w:cs="Arial" w:eastAsia="Arial" w:hAnsi="Arial"/>
                <w:sz w:val="13"/>
                <w:szCs w:val="13"/>
                <w:color w:val="auto"/>
              </w:rPr>
              <w:t>RSU awards vesting, net of shares withheld for taxes</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20" w:type="dxa"/>
            <w:vAlign w:val="bottom"/>
          </w:tcPr>
          <w:p>
            <w:pPr>
              <w:ind w:left="120"/>
              <w:spacing w:after="0"/>
              <w:rPr>
                <w:sz w:val="20"/>
                <w:szCs w:val="20"/>
                <w:color w:val="auto"/>
              </w:rPr>
            </w:pPr>
            <w:r>
              <w:rPr>
                <w:rFonts w:ascii="Arial" w:cs="Arial" w:eastAsia="Arial" w:hAnsi="Arial"/>
                <w:sz w:val="13"/>
                <w:szCs w:val="13"/>
                <w:color w:val="auto"/>
              </w:rPr>
              <w:t>which have been retired</w:t>
            </w:r>
          </w:p>
        </w:tc>
        <w:tc>
          <w:tcPr>
            <w:tcW w:w="760" w:type="dxa"/>
            <w:vAlign w:val="bottom"/>
          </w:tcPr>
          <w:p>
            <w:pPr>
              <w:jc w:val="right"/>
              <w:spacing w:after="0"/>
              <w:rPr>
                <w:sz w:val="20"/>
                <w:szCs w:val="20"/>
                <w:color w:val="auto"/>
              </w:rPr>
            </w:pPr>
            <w:r>
              <w:rPr>
                <w:rFonts w:ascii="Arial" w:cs="Arial" w:eastAsia="Arial" w:hAnsi="Arial"/>
                <w:sz w:val="13"/>
                <w:szCs w:val="13"/>
                <w:color w:val="auto"/>
              </w:rPr>
              <w:t>66,704</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97"/>
              <w:spacing w:after="0"/>
              <w:rPr>
                <w:sz w:val="20"/>
                <w:szCs w:val="20"/>
                <w:color w:val="auto"/>
              </w:rPr>
            </w:pPr>
            <w:r>
              <w:rPr>
                <w:rFonts w:ascii="Arial" w:cs="Arial" w:eastAsia="Arial" w:hAnsi="Arial"/>
                <w:sz w:val="13"/>
                <w:szCs w:val="13"/>
                <w:color w:val="auto"/>
              </w:rPr>
              <w:t>(832 )</w:t>
            </w:r>
          </w:p>
        </w:tc>
        <w:tc>
          <w:tcPr>
            <w:tcW w:w="1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(832 )</w:t>
            </w:r>
          </w:p>
        </w:tc>
        <w:tc>
          <w:tcPr>
            <w:tcW w:w="0" w:type="dxa"/>
            <w:vAlign w:val="bottom"/>
          </w:tcPr>
          <w:p>
            <w:pPr>
              <w:spacing w:after="0"/>
              <w:rPr>
                <w:sz w:val="1"/>
                <w:szCs w:val="1"/>
                <w:color w:val="auto"/>
              </w:rPr>
            </w:pPr>
          </w:p>
        </w:tc>
      </w:tr>
      <w:tr>
        <w:trPr>
          <w:trHeight w:val="170"/>
        </w:trPr>
        <w:tc>
          <w:tcPr>
            <w:tcW w:w="3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noncontrolling interest activity</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(11,783 )</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(18,306 )</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(30,089 )</w:t>
            </w:r>
          </w:p>
        </w:tc>
        <w:tc>
          <w:tcPr>
            <w:tcW w:w="0" w:type="dxa"/>
            <w:vAlign w:val="bottom"/>
          </w:tcPr>
          <w:p>
            <w:pPr>
              <w:spacing w:after="0"/>
              <w:rPr>
                <w:sz w:val="1"/>
                <w:szCs w:val="1"/>
                <w:color w:val="auto"/>
              </w:rPr>
            </w:pPr>
          </w:p>
        </w:tc>
      </w:tr>
      <w:tr>
        <w:trPr>
          <w:trHeight w:val="157"/>
        </w:trPr>
        <w:tc>
          <w:tcPr>
            <w:tcW w:w="39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(69,804 )</w:t>
            </w:r>
          </w:p>
        </w:tc>
        <w:tc>
          <w:tcPr>
            <w:tcW w:w="1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1,209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(68,595 )</w:t>
            </w: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(42,336 )</w:t>
            </w: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(42,336 )</w:t>
            </w:r>
          </w:p>
        </w:tc>
        <w:tc>
          <w:tcPr>
            <w:tcW w:w="0" w:type="dxa"/>
            <w:vAlign w:val="bottom"/>
          </w:tcPr>
          <w:p>
            <w:pPr>
              <w:spacing w:after="0"/>
              <w:rPr>
                <w:sz w:val="1"/>
                <w:szCs w:val="1"/>
                <w:color w:val="auto"/>
              </w:rPr>
            </w:pPr>
          </w:p>
        </w:tc>
      </w:tr>
      <w:tr>
        <w:trPr>
          <w:trHeight w:val="114"/>
        </w:trPr>
        <w:tc>
          <w:tcPr>
            <w:tcW w:w="3920" w:type="dxa"/>
            <w:vAlign w:val="bottom"/>
            <w:tcBorders>
              <w:top w:val="single" w:sz="8" w:color="CFF0FC"/>
            </w:tcBorders>
          </w:tcPr>
          <w:p>
            <w:pPr>
              <w:ind w:left="20"/>
              <w:spacing w:after="0" w:line="114" w:lineRule="exact"/>
              <w:rPr>
                <w:sz w:val="20"/>
                <w:szCs w:val="20"/>
                <w:color w:val="auto"/>
              </w:rPr>
            </w:pPr>
            <w:r>
              <w:rPr>
                <w:rFonts w:ascii="Arial" w:cs="Arial" w:eastAsia="Arial" w:hAnsi="Arial"/>
                <w:sz w:val="13"/>
                <w:szCs w:val="13"/>
                <w:color w:val="auto"/>
              </w:rPr>
              <w:t>Balance at September 30, 2022</w:t>
            </w:r>
          </w:p>
        </w:tc>
        <w:tc>
          <w:tcPr>
            <w:tcW w:w="76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75,585,22</w:t>
            </w:r>
          </w:p>
        </w:tc>
        <w:tc>
          <w:tcPr>
            <w:tcW w:w="220" w:type="dxa"/>
            <w:vAlign w:val="bottom"/>
            <w:tcBorders>
              <w:top w:val="single" w:sz="8" w:color="CFF0FC"/>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9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880" w:type="dxa"/>
            <w:vAlign w:val="bottom"/>
            <w:gridSpan w:val="2"/>
          </w:tcPr>
          <w:p>
            <w:pPr>
              <w:jc w:val="right"/>
              <w:ind w:right="49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8</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2,496,783</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163,726</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(63,957 )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31,631</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2,628,191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9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20"/>
              <w:spacing w:after="0"/>
              <w:rPr>
                <w:sz w:val="20"/>
                <w:szCs w:val="20"/>
                <w:color w:val="auto"/>
              </w:rPr>
            </w:pPr>
            <w:r>
              <w:rPr>
                <w:rFonts w:ascii="Arial" w:cs="Arial" w:eastAsia="Arial" w:hAnsi="Arial"/>
                <w:sz w:val="13"/>
                <w:szCs w:val="13"/>
                <w:b w:val="1"/>
                <w:bCs w:val="1"/>
                <w:color w:val="auto"/>
              </w:rPr>
              <w:t>For the Six Months Ended September 30, 2021</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920" w:type="dxa"/>
            <w:vAlign w:val="bottom"/>
            <w:shd w:val="clear" w:color="auto" w:fill="CFF0FC"/>
          </w:tcPr>
          <w:p>
            <w:pPr>
              <w:ind w:left="20"/>
              <w:spacing w:after="0" w:line="116" w:lineRule="exact"/>
              <w:rPr>
                <w:sz w:val="20"/>
                <w:szCs w:val="20"/>
                <w:color w:val="auto"/>
              </w:rPr>
            </w:pPr>
            <w:r>
              <w:rPr>
                <w:rFonts w:ascii="Arial" w:cs="Arial" w:eastAsia="Arial" w:hAnsi="Arial"/>
                <w:sz w:val="13"/>
                <w:szCs w:val="13"/>
                <w:color w:val="auto"/>
              </w:rPr>
              <w:t>Balance at March 31, 2021</w:t>
            </w:r>
          </w:p>
        </w:tc>
        <w:tc>
          <w:tcPr>
            <w:tcW w:w="760" w:type="dxa"/>
            <w:vAlign w:val="bottom"/>
            <w:shd w:val="clear" w:color="auto" w:fill="CFF0FC"/>
          </w:tcPr>
          <w:p>
            <w:pPr>
              <w:jc w:val="right"/>
              <w:spacing w:after="0" w:line="116" w:lineRule="exact"/>
              <w:rPr>
                <w:sz w:val="20"/>
                <w:szCs w:val="20"/>
                <w:color w:val="auto"/>
              </w:rPr>
            </w:pPr>
            <w:r>
              <w:rPr>
                <w:rFonts w:ascii="Arial" w:cs="Arial" w:eastAsia="Arial" w:hAnsi="Arial"/>
                <w:sz w:val="13"/>
                <w:szCs w:val="13"/>
                <w:color w:val="auto"/>
              </w:rPr>
              <w:t>68,529,13</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9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880" w:type="dxa"/>
            <w:vAlign w:val="bottom"/>
            <w:gridSpan w:val="2"/>
            <w:shd w:val="clear" w:color="auto" w:fill="CFF0FC"/>
          </w:tcPr>
          <w:p>
            <w:pPr>
              <w:jc w:val="right"/>
              <w:ind w:right="49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2,092,595</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249,064</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9,803</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35,765</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2,387,234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2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760" w:type="dxa"/>
            <w:vAlign w:val="bottom"/>
          </w:tcPr>
          <w:p>
            <w:pPr>
              <w:jc w:val="right"/>
              <w:spacing w:after="0"/>
              <w:rPr>
                <w:sz w:val="20"/>
                <w:szCs w:val="20"/>
                <w:color w:val="auto"/>
              </w:rPr>
            </w:pPr>
            <w:r>
              <w:rPr>
                <w:rFonts w:ascii="Arial" w:cs="Arial" w:eastAsia="Arial" w:hAnsi="Arial"/>
                <w:sz w:val="13"/>
                <w:szCs w:val="13"/>
                <w:color w:val="auto"/>
              </w:rPr>
              <w:t>2,257</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920" w:type="dxa"/>
            <w:vAlign w:val="bottom"/>
            <w:shd w:val="clear" w:color="auto" w:fill="CFF0FC"/>
          </w:tcPr>
          <w:p>
            <w:pPr>
              <w:ind w:left="20"/>
              <w:spacing w:after="0" w:line="121" w:lineRule="exact"/>
              <w:rPr>
                <w:sz w:val="20"/>
                <w:szCs w:val="20"/>
                <w:color w:val="auto"/>
              </w:rPr>
            </w:pPr>
            <w:r>
              <w:rPr>
                <w:rFonts w:ascii="Arial" w:cs="Arial" w:eastAsia="Arial" w:hAnsi="Arial"/>
                <w:sz w:val="13"/>
                <w:szCs w:val="13"/>
                <w:color w:val="auto"/>
              </w:rPr>
              <w:t>Issuance of stock under Employee Stock Purchase</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9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Plan</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313,700</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8,706</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51,070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51,070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920" w:type="dxa"/>
            <w:vAlign w:val="bottom"/>
            <w:shd w:val="clear" w:color="auto" w:fill="CFF0FC"/>
          </w:tcPr>
          <w:p>
            <w:pPr>
              <w:ind w:left="20"/>
              <w:spacing w:after="0" w:line="121" w:lineRule="exact"/>
              <w:rPr>
                <w:sz w:val="20"/>
                <w:szCs w:val="20"/>
                <w:color w:val="auto"/>
              </w:rPr>
            </w:pPr>
            <w:r>
              <w:rPr>
                <w:rFonts w:ascii="Arial" w:cs="Arial" w:eastAsia="Arial" w:hAnsi="Arial"/>
                <w:sz w:val="13"/>
                <w:szCs w:val="13"/>
                <w:color w:val="auto"/>
              </w:rPr>
              <w:t>Shares issued in settlement of certain accrued</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9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employee compensation liabilities</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457,130</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24,488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24,488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920" w:type="dxa"/>
            <w:vAlign w:val="bottom"/>
          </w:tcPr>
          <w:p>
            <w:pPr>
              <w:ind w:left="20"/>
              <w:spacing w:after="0" w:line="116" w:lineRule="exact"/>
              <w:rPr>
                <w:sz w:val="20"/>
                <w:szCs w:val="20"/>
                <w:color w:val="auto"/>
              </w:rPr>
            </w:pPr>
            <w:r>
              <w:rPr>
                <w:rFonts w:ascii="Arial" w:cs="Arial" w:eastAsia="Arial" w:hAnsi="Arial"/>
                <w:sz w:val="13"/>
                <w:szCs w:val="13"/>
                <w:color w:val="auto"/>
              </w:rPr>
              <w:t>RSU awards vesting, net of shares withheld for taxes</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20" w:type="dxa"/>
            <w:vAlign w:val="bottom"/>
          </w:tcPr>
          <w:p>
            <w:pPr>
              <w:ind w:left="120"/>
              <w:spacing w:after="0"/>
              <w:rPr>
                <w:sz w:val="20"/>
                <w:szCs w:val="20"/>
                <w:color w:val="auto"/>
              </w:rPr>
            </w:pPr>
            <w:r>
              <w:rPr>
                <w:rFonts w:ascii="Arial" w:cs="Arial" w:eastAsia="Arial" w:hAnsi="Arial"/>
                <w:sz w:val="13"/>
                <w:szCs w:val="13"/>
                <w:color w:val="auto"/>
              </w:rPr>
              <w:t>which have been retired</w:t>
            </w:r>
          </w:p>
        </w:tc>
        <w:tc>
          <w:tcPr>
            <w:tcW w:w="760" w:type="dxa"/>
            <w:vAlign w:val="bottom"/>
          </w:tcPr>
          <w:p>
            <w:pPr>
              <w:jc w:val="right"/>
              <w:spacing w:after="0"/>
              <w:rPr>
                <w:sz w:val="20"/>
                <w:szCs w:val="20"/>
                <w:color w:val="auto"/>
              </w:rPr>
            </w:pPr>
            <w:r>
              <w:rPr>
                <w:rFonts w:ascii="Arial" w:cs="Arial" w:eastAsia="Arial" w:hAnsi="Arial"/>
                <w:sz w:val="13"/>
                <w:szCs w:val="13"/>
                <w:color w:val="auto"/>
              </w:rPr>
              <w:t>95,669</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97"/>
              <w:spacing w:after="0"/>
              <w:rPr>
                <w:sz w:val="20"/>
                <w:szCs w:val="20"/>
                <w:color w:val="auto"/>
              </w:rPr>
            </w:pPr>
            <w:r>
              <w:rPr>
                <w:rFonts w:ascii="Arial" w:cs="Arial" w:eastAsia="Arial" w:hAnsi="Arial"/>
                <w:sz w:val="13"/>
                <w:szCs w:val="13"/>
                <w:color w:val="auto"/>
              </w:rPr>
              <w:t>(1,742 )</w:t>
            </w:r>
          </w:p>
        </w:tc>
        <w:tc>
          <w:tcPr>
            <w:tcW w:w="1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(1,742 )</w:t>
            </w:r>
          </w:p>
        </w:tc>
        <w:tc>
          <w:tcPr>
            <w:tcW w:w="0" w:type="dxa"/>
            <w:vAlign w:val="bottom"/>
          </w:tcPr>
          <w:p>
            <w:pPr>
              <w:spacing w:after="0"/>
              <w:rPr>
                <w:sz w:val="1"/>
                <w:szCs w:val="1"/>
                <w:color w:val="auto"/>
              </w:rPr>
            </w:pPr>
          </w:p>
        </w:tc>
      </w:tr>
      <w:tr>
        <w:trPr>
          <w:trHeight w:val="170"/>
        </w:trPr>
        <w:tc>
          <w:tcPr>
            <w:tcW w:w="3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Shares issued in connection with acquisition of business</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4,000,189</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207,169</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207,169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20" w:type="dxa"/>
            <w:vAlign w:val="bottom"/>
          </w:tcPr>
          <w:p>
            <w:pPr>
              <w:ind w:left="20"/>
              <w:spacing w:after="0"/>
              <w:rPr>
                <w:sz w:val="20"/>
                <w:szCs w:val="20"/>
                <w:color w:val="auto"/>
              </w:rPr>
            </w:pPr>
            <w:r>
              <w:rPr>
                <w:rFonts w:ascii="Arial" w:cs="Arial" w:eastAsia="Arial" w:hAnsi="Arial"/>
                <w:sz w:val="13"/>
                <w:szCs w:val="13"/>
                <w:color w:val="auto"/>
              </w:rPr>
              <w:t>Other</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(11 )</w:t>
            </w:r>
          </w:p>
        </w:tc>
        <w:tc>
          <w:tcPr>
            <w:tcW w:w="14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167"/>
        </w:trPr>
        <w:tc>
          <w:tcPr>
            <w:tcW w:w="3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 (loss)</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20,259</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2,903</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23,162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20" w:type="dxa"/>
            <w:vAlign w:val="bottom"/>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(26,676 )</w:t>
            </w: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(26,676 )</w:t>
            </w:r>
          </w:p>
        </w:tc>
        <w:tc>
          <w:tcPr>
            <w:tcW w:w="0" w:type="dxa"/>
            <w:vAlign w:val="bottom"/>
          </w:tcPr>
          <w:p>
            <w:pPr>
              <w:spacing w:after="0"/>
              <w:rPr>
                <w:sz w:val="1"/>
                <w:szCs w:val="1"/>
                <w:color w:val="auto"/>
              </w:rPr>
            </w:pPr>
          </w:p>
        </w:tc>
      </w:tr>
      <w:tr>
        <w:trPr>
          <w:trHeight w:val="114"/>
        </w:trPr>
        <w:tc>
          <w:tcPr>
            <w:tcW w:w="3920" w:type="dxa"/>
            <w:vAlign w:val="bottom"/>
            <w:shd w:val="clear" w:color="auto" w:fill="CFF0FC"/>
          </w:tcPr>
          <w:p>
            <w:pPr>
              <w:ind w:left="20"/>
              <w:spacing w:after="0" w:line="114" w:lineRule="exact"/>
              <w:rPr>
                <w:sz w:val="20"/>
                <w:szCs w:val="20"/>
                <w:color w:val="auto"/>
              </w:rPr>
            </w:pPr>
            <w:r>
              <w:rPr>
                <w:rFonts w:ascii="Arial" w:cs="Arial" w:eastAsia="Arial" w:hAnsi="Arial"/>
                <w:sz w:val="13"/>
                <w:szCs w:val="13"/>
                <w:color w:val="auto"/>
              </w:rPr>
              <w:t>Balance at September 30, 2021</w:t>
            </w:r>
          </w:p>
        </w:tc>
        <w:tc>
          <w:tcPr>
            <w:tcW w:w="760" w:type="dxa"/>
            <w:vAlign w:val="bottom"/>
            <w:tcBorders>
              <w:top w:val="single" w:sz="8" w:color="auto"/>
            </w:tcBorders>
            <w:shd w:val="clear" w:color="auto" w:fill="CFF0FC"/>
          </w:tcPr>
          <w:p>
            <w:pPr>
              <w:jc w:val="right"/>
              <w:spacing w:after="0" w:line="114" w:lineRule="exact"/>
              <w:rPr>
                <w:sz w:val="20"/>
                <w:szCs w:val="20"/>
                <w:color w:val="auto"/>
              </w:rPr>
            </w:pPr>
            <w:r>
              <w:rPr>
                <w:rFonts w:ascii="Arial" w:cs="Arial" w:eastAsia="Arial" w:hAnsi="Arial"/>
                <w:sz w:val="13"/>
                <w:szCs w:val="13"/>
                <w:color w:val="auto"/>
              </w:rPr>
              <w:t>73,398,07</w:t>
            </w:r>
          </w:p>
        </w:tc>
        <w:tc>
          <w:tcPr>
            <w:tcW w:w="220" w:type="dxa"/>
            <w:vAlign w:val="bottom"/>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98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90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9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9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2,382,356</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269,323</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(16,873 )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38,657</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2,673,470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-2022475</wp:posOffset>
            </wp:positionV>
            <wp:extent cx="76835" cy="2228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-2022475</wp:posOffset>
            </wp:positionV>
            <wp:extent cx="77470"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22288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-2022475</wp:posOffset>
            </wp:positionV>
            <wp:extent cx="76835" cy="222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-2022475</wp:posOffset>
            </wp:positionV>
            <wp:extent cx="68580" cy="222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-2022475</wp:posOffset>
            </wp:positionV>
            <wp:extent cx="68580" cy="222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-2022475</wp:posOffset>
            </wp:positionV>
            <wp:extent cx="68580" cy="222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222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-24765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-7620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-24765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p>
      <w:pPr>
        <w:ind w:left="5060"/>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accompanying condensed consolidated balance sheet at September 30, 2022, the condensed consolidated statements of operations and comprehensive income (loss) for the three and six months ended September 30, 2022 and 2021, the condensed consolidated statements of cash flows for the six months ended September 30, 2022 and 2021 and the condensed consolidated statements of equity for the three and six months ended September 30, 2022 and 2021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2022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2022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53"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The Company’s condensed consolidated financial statements include the assets, liabilities and results of operations of Viasat, its wholly owned subsidiaries and its majority-owned subsidiary, TrellisWare Technologies, Inc. (TrellisWare). During the first quarter of fiscal year 2022, the Company completed the acquisitions of the remaining 51% interest in Euro Broadband Infrastructure Sàrl (EBI) and RigNet, Inc. (RigNet) (see Note 5 – Acquisitions for more information). The acquisitions were accounted for as purchases and accordingly, the condensed consolidated financial statements include the operating results of EBI and RigNet from the dates of acquisition.</w:t>
      </w:r>
    </w:p>
    <w:p>
      <w:pPr>
        <w:spacing w:after="0" w:line="162" w:lineRule="exact"/>
        <w:rPr>
          <w:sz w:val="20"/>
          <w:szCs w:val="20"/>
          <w:color w:val="auto"/>
        </w:rPr>
      </w:pPr>
    </w:p>
    <w:p>
      <w:pPr>
        <w:jc w:val="both"/>
        <w:ind w:right="340" w:firstLine="509"/>
        <w:spacing w:after="0"/>
        <w:rPr>
          <w:sz w:val="20"/>
          <w:szCs w:val="20"/>
          <w:color w:val="auto"/>
        </w:rPr>
      </w:pPr>
      <w:r>
        <w:rPr>
          <w:rFonts w:ascii="Arial" w:cs="Arial" w:eastAsia="Arial" w:hAnsi="Arial"/>
          <w:sz w:val="18"/>
          <w:szCs w:val="18"/>
          <w:color w:val="auto"/>
        </w:rPr>
        <w:t>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spacing w:after="0" w:line="14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On October 1, 2022, the Company entered into an Asset Purchase Agreement to sell certain assets and assign certain liabilities comprising its Link-16 Tactical Data Links business (the Link-16 TDL Business) to L3Harris Technologies, Inc. in exchange for approximately $1.96 billion in cash (subject to certain adjustments), on and subject to the terms and conditions set forth therein (the Link-16 TDL Sale). In accordance with authoritative guidance for discontinued operations (Accounting Standards Codification (ASC) 205-20), the Company determined that the Link-16 TDL Business met held-for-sale and discontinued operations accounting criteria at the end of the second quarter of fiscal year 2023. Accordingly, the Company classified the results of the Link-16 TDL Business as discontinued operations in its condensed consolidated statements of operations for all periods presented. Additionally, the related assets and liabilities associated with the Link-16 TDL Business are classified as held for sale and discontinued operations in the condensed consolidated balance sheets for all periods presented. The cash flows related to discontinued operations have not been segregated and are included in the condensed consolidated statements of cash flows. Unless otherwise noted, discussion within the notes to the condensed consolidated financial statements relates to continuing operations only and excludes the Link-16 TDL Business. See Note 4 — Discontinued Operations for additional information.</w:t>
      </w:r>
    </w:p>
    <w:p>
      <w:pPr>
        <w:spacing w:after="0" w:line="148"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On July 8, 2022, Cisco Systems, Inc., which previously acquired Acacia Communications, Inc. (Acacia), paid the Company approximately $62.2 million. The payment fully satisfied the July 2019 judgment previously entered against Acacia related to Acacia's breach of contract and misuse of the Company's soft decision forward error correction technology. For the three and six months ended September 30, 2022, the Company recorded $55.8 million as product revenues in the Company's commercial networks segment and $6.4 million as interest income with respect to such payment.</w:t>
      </w:r>
    </w:p>
    <w:p>
      <w:pPr>
        <w:spacing w:after="0" w:line="14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On November 8, 2021, the Company entered into a Share Purchase Agreement to combine with Connect Topco Limited, a private company limited by shares and incorporated in Guernsey (Inmarsat), with the shareholders of Inmarsat and certain management and employees who hold options and shares of a subsidiary of Inmarsat whose options and shares will be exchanged for shares of Inmarsat prior to closing (collectively, the Sellers). Pursuant to the Share Purchase Agreement, the Company will purchase all of the issued and outstanding shares of Inmarsat from the Sellers upon the terms and subject to the conditions set forth therein (the Inmarsat Transaction). See Note 5 – Acquisitions for more information.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contingencies and income taxes including the valuation allowance on deferred tax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accordance with the authoritative guidance for revenue from contracts with customers (ASC 606), the Company applies the five-step model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16"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the authoritative guidance for leases (ASC 842). As discussed further below under “Leases - Lessor accounting”, for broadband equipment leased to consumer broadband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spacing w:after="0" w:line="149"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65"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The vast majority of the Company’s revenues from long-term contracts to develop and deliver complex equipment built to customer specifications are derived from contracts with the U.S. Government (including foreign military sales contracted through the U.S. Government). 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167"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p>
    <w:p>
      <w:pPr>
        <w:spacing w:after="0" w:line="16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 by the DCAA has not been concluded for fiscal years 2021 or 2022. As of September 30, 2022, the DCAA had completed its incurred cost audit for fiscal years 2004, 2016, 2019 and 2020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2020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both September 30, 2022 and March 31, 2022, the Company had $12.1 million in contract-related reserves for its estimate of potential refunds to customers for potential cost adjustments on several multi-year U.S. Government cost reimbursable contracts (see Note 10 — Commitments and Contingencies for more information).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23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72" w:lineRule="exact"/>
        <w:rPr>
          <w:sz w:val="20"/>
          <w:szCs w:val="20"/>
          <w:color w:val="auto"/>
        </w:rPr>
      </w:pPr>
    </w:p>
    <w:p>
      <w:pPr>
        <w:ind w:right="280" w:firstLine="509"/>
        <w:spacing w:after="0"/>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230"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service contracts in its satellite services segment do not have minimum service purchase requirements and therefore are not included in the Company’s remaining performance obligations. As of September 30, 2022, the aggregate amount of the transaction price allocated to remaining performance obligations was $2.4 billion (including approximately $599.7 million attributable to discontinued operations), of which the Company expects to recognize a little over half over the next 12 months, with the balance recognized thereafter.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30"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 Company operates and manages its business in three 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The following sets forth disaggregated reported revenue by segment and product and services for the three and six months ended September 30, 2022 and 2021 (as noted above, revenue information excludes revenues from the Link-16 TDL Business, which have been classified as discontinued operations):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Three Months Ended September 30, 2022</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29"/>
        </w:trPr>
        <w:tc>
          <w:tcPr>
            <w:tcW w:w="4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Satellite</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center"/>
              <w:ind w:right="80"/>
              <w:spacing w:after="0" w:line="129" w:lineRule="exact"/>
              <w:rPr>
                <w:sz w:val="20"/>
                <w:szCs w:val="20"/>
                <w:color w:val="auto"/>
              </w:rPr>
            </w:pPr>
            <w:r>
              <w:rPr>
                <w:rFonts w:ascii="Arial" w:cs="Arial" w:eastAsia="Arial" w:hAnsi="Arial"/>
                <w:sz w:val="14"/>
                <w:szCs w:val="14"/>
                <w:b w:val="1"/>
                <w:bCs w:val="1"/>
                <w:color w:val="auto"/>
              </w:rPr>
              <w:t>Commercial</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97"/>
              <w:spacing w:after="0" w:line="129"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37"/>
              <w:spacing w:after="0" w:line="129"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r>
      <w:tr>
        <w:trPr>
          <w:trHeight w:val="189"/>
        </w:trPr>
        <w:tc>
          <w:tcPr>
            <w:tcW w:w="4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Networks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4"/>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159,831</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95,030</w:t>
            </w:r>
          </w:p>
        </w:tc>
        <w:tc>
          <w:tcPr>
            <w:tcW w:w="4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254,861</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300,547</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20,196</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81,079</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401,822</w:t>
            </w:r>
          </w:p>
        </w:tc>
        <w:tc>
          <w:tcPr>
            <w:tcW w:w="100" w:type="dxa"/>
            <w:vAlign w:val="bottom"/>
          </w:tcPr>
          <w:p>
            <w:pPr>
              <w:spacing w:after="0"/>
              <w:rPr>
                <w:sz w:val="18"/>
                <w:szCs w:val="18"/>
                <w:color w:val="auto"/>
              </w:rPr>
            </w:pPr>
          </w:p>
        </w:tc>
      </w:tr>
      <w:tr>
        <w:trPr>
          <w:trHeight w:val="249"/>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300,547</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180,027</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176,109</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656,683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Six Months Ended September 30, 2022</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Satellite</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center"/>
              <w:ind w:right="80"/>
              <w:spacing w:after="0" w:line="129" w:lineRule="exact"/>
              <w:rPr>
                <w:sz w:val="20"/>
                <w:szCs w:val="20"/>
                <w:color w:val="auto"/>
              </w:rPr>
            </w:pPr>
            <w:r>
              <w:rPr>
                <w:rFonts w:ascii="Arial" w:cs="Arial" w:eastAsia="Arial" w:hAnsi="Arial"/>
                <w:sz w:val="14"/>
                <w:szCs w:val="14"/>
                <w:b w:val="1"/>
                <w:bCs w:val="1"/>
                <w:color w:val="auto"/>
              </w:rPr>
              <w:t>Commercial</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97"/>
              <w:spacing w:after="0" w:line="129"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37"/>
              <w:spacing w:after="0" w:line="129"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r>
      <w:tr>
        <w:trPr>
          <w:trHeight w:val="189"/>
        </w:trPr>
        <w:tc>
          <w:tcPr>
            <w:tcW w:w="4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Networks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r>
      <w:tr>
        <w:trPr>
          <w:trHeight w:val="209"/>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4"/>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253,406</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170,700</w:t>
            </w:r>
          </w:p>
        </w:tc>
        <w:tc>
          <w:tcPr>
            <w:tcW w:w="4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424,106</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612,647</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39,405</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151,959</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804,011</w:t>
            </w:r>
          </w:p>
        </w:tc>
        <w:tc>
          <w:tcPr>
            <w:tcW w:w="100" w:type="dxa"/>
            <w:vAlign w:val="bottom"/>
          </w:tcPr>
          <w:p>
            <w:pPr>
              <w:spacing w:after="0"/>
              <w:rPr>
                <w:sz w:val="18"/>
                <w:szCs w:val="18"/>
                <w:color w:val="auto"/>
              </w:rPr>
            </w:pPr>
          </w:p>
        </w:tc>
      </w:tr>
      <w:tr>
        <w:trPr>
          <w:trHeight w:val="249"/>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612,647</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292,811</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322,659</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1,228,117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Three Months Ended September 30, 2021</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Satellite</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center"/>
              <w:ind w:right="80"/>
              <w:spacing w:after="0" w:line="129" w:lineRule="exact"/>
              <w:rPr>
                <w:sz w:val="20"/>
                <w:szCs w:val="20"/>
                <w:color w:val="auto"/>
              </w:rPr>
            </w:pPr>
            <w:r>
              <w:rPr>
                <w:rFonts w:ascii="Arial" w:cs="Arial" w:eastAsia="Arial" w:hAnsi="Arial"/>
                <w:sz w:val="14"/>
                <w:szCs w:val="14"/>
                <w:b w:val="1"/>
                <w:bCs w:val="1"/>
                <w:color w:val="auto"/>
              </w:rPr>
              <w:t>Commercial</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97"/>
              <w:spacing w:after="0" w:line="129"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37"/>
              <w:spacing w:after="0" w:line="129"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r>
      <w:tr>
        <w:trPr>
          <w:trHeight w:val="189"/>
        </w:trPr>
        <w:tc>
          <w:tcPr>
            <w:tcW w:w="4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Networks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r>
      <w:tr>
        <w:trPr>
          <w:trHeight w:val="209"/>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4"/>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118,935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102,120</w:t>
            </w:r>
          </w:p>
        </w:tc>
        <w:tc>
          <w:tcPr>
            <w:tcW w:w="4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221,055</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300,110</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72,121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388,102</w:t>
            </w:r>
          </w:p>
        </w:tc>
        <w:tc>
          <w:tcPr>
            <w:tcW w:w="100" w:type="dxa"/>
            <w:vAlign w:val="bottom"/>
          </w:tcPr>
          <w:p>
            <w:pPr>
              <w:spacing w:after="0"/>
              <w:rPr>
                <w:sz w:val="18"/>
                <w:szCs w:val="18"/>
                <w:color w:val="auto"/>
              </w:rPr>
            </w:pPr>
          </w:p>
        </w:tc>
      </w:tr>
      <w:tr>
        <w:trPr>
          <w:trHeight w:val="250"/>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300,110</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134,806</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174,241</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609,157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Six Months Ended September 30, 2021</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Satellite</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center"/>
              <w:ind w:right="80"/>
              <w:spacing w:after="0" w:line="129" w:lineRule="exact"/>
              <w:rPr>
                <w:sz w:val="20"/>
                <w:szCs w:val="20"/>
                <w:color w:val="auto"/>
              </w:rPr>
            </w:pPr>
            <w:r>
              <w:rPr>
                <w:rFonts w:ascii="Arial" w:cs="Arial" w:eastAsia="Arial" w:hAnsi="Arial"/>
                <w:sz w:val="14"/>
                <w:szCs w:val="14"/>
                <w:b w:val="1"/>
                <w:bCs w:val="1"/>
                <w:color w:val="auto"/>
              </w:rPr>
              <w:t>Commercial</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97"/>
              <w:spacing w:after="0" w:line="129"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37"/>
              <w:spacing w:after="0" w:line="129"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r>
      <w:tr>
        <w:trPr>
          <w:trHeight w:val="189"/>
        </w:trPr>
        <w:tc>
          <w:tcPr>
            <w:tcW w:w="4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Networks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4"/>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220,466</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206,231</w:t>
            </w:r>
          </w:p>
        </w:tc>
        <w:tc>
          <w:tcPr>
            <w:tcW w:w="4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426,697</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574,227</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32,936</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146,077</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753,240</w:t>
            </w:r>
          </w:p>
        </w:tc>
        <w:tc>
          <w:tcPr>
            <w:tcW w:w="100" w:type="dxa"/>
            <w:vAlign w:val="bottom"/>
          </w:tcPr>
          <w:p>
            <w:pPr>
              <w:spacing w:after="0"/>
              <w:rPr>
                <w:sz w:val="18"/>
                <w:szCs w:val="18"/>
                <w:color w:val="auto"/>
              </w:rPr>
            </w:pPr>
          </w:p>
        </w:tc>
      </w:tr>
      <w:tr>
        <w:trPr>
          <w:trHeight w:val="250"/>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574,227</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253,402</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352,308</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1,179,937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-3239770</wp:posOffset>
            </wp:positionV>
            <wp:extent cx="3171825" cy="651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71825" cy="65151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-2167890</wp:posOffset>
            </wp:positionV>
            <wp:extent cx="3171825" cy="651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71825" cy="65151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-1096645</wp:posOffset>
            </wp:positionV>
            <wp:extent cx="3171825" cy="651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71825" cy="65151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768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Revenues from the U.S. Government as an individual customer comprised approximately 17% and 16% of total revenues for the three and six months ended September 30, 2022, respectively, and approximately 18% and 20% of total revenues for the three and six months ended September 30, 2021, respectively, mainly reported within the government systems segment. Revenues from the Company’s other customers, mainly reported within the commercial networks and satellite services segments, comprised approximately 83% and 84% of total revenues for the three and six months ended September 30, 2022, respectively, and approximately 82% and 80% of total revenues for the three and six months ended September 30, 2021, respectively.</w:t>
      </w:r>
    </w:p>
    <w:p>
      <w:pPr>
        <w:spacing w:after="0" w:line="147" w:lineRule="exact"/>
        <w:rPr>
          <w:sz w:val="20"/>
          <w:szCs w:val="20"/>
          <w:color w:val="auto"/>
        </w:rPr>
      </w:pPr>
    </w:p>
    <w:p>
      <w:pPr>
        <w:ind w:right="500" w:firstLine="509"/>
        <w:spacing w:after="0" w:line="246" w:lineRule="auto"/>
        <w:rPr>
          <w:sz w:val="20"/>
          <w:szCs w:val="20"/>
          <w:color w:val="auto"/>
        </w:rPr>
      </w:pPr>
      <w:r>
        <w:rPr>
          <w:rFonts w:ascii="Arial" w:cs="Arial" w:eastAsia="Arial" w:hAnsi="Arial"/>
          <w:sz w:val="18"/>
          <w:szCs w:val="18"/>
          <w:color w:val="auto"/>
        </w:rPr>
        <w:t>The Company’s satellite services segment revenues are primarily derived from the Company’s fixed broadband services, in-flight services and energy services (acquired through the RigNet acquisition).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 89% and 86% of the Company’s total revenues for these segments for the three and six months ended September 30, 2022, respectively, and approximately 92% and 90% of the Company’s total revenues for these segments for the three and six months ended September 30, 2021, respectively.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p>
    <w:p>
      <w:pPr>
        <w:spacing w:after="0" w:line="149"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14% and 16% of its total revenues for the three and six months ended September 30, 2022, respectively, and approximately 18% of its total revenues for both the three and six months ended September 30, 2021.</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16"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spacing w:after="0" w:line="145"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September 30, 2022 and March 31,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jc w:val="right"/>
              <w:ind w:right="759"/>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jc w:val="right"/>
              <w:ind w:right="757"/>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r>
      <w:tr>
        <w:trPr>
          <w:trHeight w:val="175"/>
        </w:trPr>
        <w:tc>
          <w:tcPr>
            <w:tcW w:w="6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5"/>
                <w:szCs w:val="15"/>
                <w:color w:val="auto"/>
              </w:rPr>
            </w:pPr>
          </w:p>
        </w:tc>
      </w:tr>
      <w:tr>
        <w:trPr>
          <w:trHeight w:val="210"/>
        </w:trPr>
        <w:tc>
          <w:tcPr>
            <w:tcW w:w="6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Unbilled accounts receivable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83,000</w:t>
            </w:r>
          </w:p>
        </w:tc>
        <w:tc>
          <w:tcPr>
            <w:tcW w:w="7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85,383</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Collections in excess of revenues and deferred revenues</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133,639</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131,623</w:t>
            </w:r>
          </w:p>
        </w:tc>
        <w:tc>
          <w:tcPr>
            <w:tcW w:w="100" w:type="dxa"/>
            <w:vAlign w:val="bottom"/>
          </w:tcPr>
          <w:p>
            <w:pPr>
              <w:spacing w:after="0"/>
              <w:rPr>
                <w:sz w:val="18"/>
                <w:szCs w:val="18"/>
                <w:color w:val="auto"/>
              </w:rPr>
            </w:pPr>
          </w:p>
        </w:tc>
      </w:tr>
      <w:tr>
        <w:trPr>
          <w:trHeight w:val="216"/>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revenues, long-term portion</w:t>
            </w: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82,103</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88,983</w:t>
            </w:r>
          </w:p>
        </w:tc>
        <w:tc>
          <w:tcPr>
            <w:tcW w:w="100" w:type="dxa"/>
            <w:vAlign w:val="bottom"/>
            <w:shd w:val="clear" w:color="auto" w:fill="CFF0FC"/>
          </w:tcPr>
          <w:p>
            <w:pPr>
              <w:spacing w:after="0"/>
              <w:rPr>
                <w:sz w:val="18"/>
                <w:szCs w:val="18"/>
                <w:color w:val="auto"/>
              </w:rPr>
            </w:pPr>
          </w:p>
        </w:tc>
      </w:tr>
    </w:tbl>
    <w:p>
      <w:pPr>
        <w:spacing w:after="0" w:line="215"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Unbilled accounts receivable decreased $2.4 million during the six months ended September 30, 2022, primarily driven by an increase in billings in the Company's satellite services segment.</w:t>
      </w:r>
    </w:p>
    <w:p>
      <w:pPr>
        <w:spacing w:after="0" w:line="143"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Collections in excess of revenues and deferred revenues increased $2.0 million during the six months ended September 30, 2022, primarily driven by advances on goods or services received in excess of revenue recognized mainly in the Company’s government systems segment.</w:t>
      </w:r>
    </w:p>
    <w:p>
      <w:pPr>
        <w:spacing w:after="0" w:line="141" w:lineRule="exact"/>
        <w:rPr>
          <w:sz w:val="20"/>
          <w:szCs w:val="20"/>
          <w:color w:val="auto"/>
        </w:rPr>
      </w:pPr>
    </w:p>
    <w:p>
      <w:pPr>
        <w:ind w:right="420" w:firstLine="509"/>
        <w:spacing w:after="0" w:line="262" w:lineRule="auto"/>
        <w:rPr>
          <w:sz w:val="20"/>
          <w:szCs w:val="20"/>
          <w:color w:val="auto"/>
        </w:rPr>
      </w:pPr>
      <w:r>
        <w:rPr>
          <w:rFonts w:ascii="Arial" w:cs="Arial" w:eastAsia="Arial" w:hAnsi="Arial"/>
          <w:sz w:val="17"/>
          <w:szCs w:val="17"/>
          <w:color w:val="auto"/>
        </w:rPr>
        <w:t>During the three and six months ended September 30, 2022, the Company recognized revenue of $22.1 million and $97.7 million, respectively, that was previously included in the Company’s collections in excess of revenues and deferred revenues at March 31, 2022. During the three and six months ended September 30, 2021, the Company recognized revenue of $34.3 million and $109.2 million, respectively, that was previously included in the Company’s collections in excess of revenues and deferred revenues at March 31,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9" w:lineRule="exact"/>
        <w:rPr>
          <w:sz w:val="20"/>
          <w:szCs w:val="20"/>
          <w:color w:val="auto"/>
        </w:rPr>
      </w:pPr>
    </w:p>
    <w:p>
      <w:pPr>
        <w:ind w:right="380" w:firstLine="509"/>
        <w:spacing w:after="0" w:line="246"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38 years. Leasehold improvements are capitalized and amortized using the straight-line method over the shorter of the lease term or the life of the improvement.</w:t>
      </w:r>
    </w:p>
    <w:p>
      <w:pPr>
        <w:spacing w:after="0" w:line="172"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Costs related to internally developed software for internal uses are capitalized after the preliminary project stage is complete and are amortized over the estimated useful lives of the assets, which are approximately three to seven years. Capitalized costs for internal-use software are included in property, equipment and satellites, net in the Company’s condensed consolidated balance sheets.</w:t>
      </w:r>
    </w:p>
    <w:p>
      <w:pPr>
        <w:spacing w:after="0" w:line="162"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the construction of satellites, gateway and networking equipment and other assets under construction, the Company capitalized $38.5 million and $72.1 million of interest expense for the three and six months ended September 30, 2022, respectively, and $24.8 million and $48.4 million for the three and six months ended September 30, 2021, respectively.</w:t>
      </w:r>
    </w:p>
    <w:p>
      <w:pPr>
        <w:spacing w:after="0" w:line="16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Company owns four satellites in service — three over North America (ViaSat-2, ViaSat-1 and WildBlue-1) and the KA-SAT satellite over Europe, Middle East, and Africa (EMEA). In addition, the Company has lifetime leases of Ka-band capacity on two satellites. The Company is also planning to launch a global constellation of three third-generation ViaSat-3 class satellites under construction. In addition, the Company owns related earth stations and networking equipment for all of its satellites. The Company procures indoor and outdoor CPE units leased to subscribers under a retail leasing program as part of the Company’s satellite services segment, which are reflected in investing activities and property, equipment and satellites, net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September 30, 2022 were $380.2 million and $208.6 million, respectively. The total cost and accumulated depreciation of CPE units included in property, equipment and satellites, net, as of March 31, 2022 were $395.5 million and $210.6 million, respectively.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Occasionally, the Company may enter into finance lease arrangements for various machinery, equipment, computer-related equipment, software, furniture, fixtures, or satellites. The Company records amortization of assets leased under finance lease arrangements within depreciation expense. The Company’s finance leases consist primarily of satellite lifetime Ka-band capacity leases and have remaining terms from less than one year to four years. The Company reports assets obtained under finance leases in property, equipment and satellites, net and the current and non-current portions of its finance lease liabilities in current portion of long-term debt and other long-term debt, respectively (see Note 1 — Basis of Presentation – Leases for more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9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accordance with ASC 842,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6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ind w:right="180" w:firstLine="8"/>
        <w:spacing w:after="0" w:line="241"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62" w:lineRule="exact"/>
        <w:rPr>
          <w:sz w:val="20"/>
          <w:szCs w:val="20"/>
          <w:color w:val="auto"/>
        </w:rPr>
      </w:pPr>
    </w:p>
    <w:p>
      <w:pPr>
        <w:jc w:val="both"/>
        <w:ind w:right="80" w:firstLine="509"/>
        <w:spacing w:after="0"/>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w:t>
      </w:r>
    </w:p>
    <w:p>
      <w:pPr>
        <w:spacing w:after="0"/>
        <w:rPr>
          <w:sz w:val="20"/>
          <w:szCs w:val="20"/>
          <w:color w:val="auto"/>
        </w:rPr>
      </w:pPr>
      <w:r>
        <w:rPr>
          <w:rFonts w:ascii="Arial" w:cs="Arial" w:eastAsia="Arial" w:hAnsi="Arial"/>
          <w:sz w:val="18"/>
          <w:szCs w:val="18"/>
          <w:color w:val="auto"/>
        </w:rPr>
        <w:t>For both operating and finance leases, lease payments are allocated between a reduction of the lease liability and interest expense.</w:t>
      </w:r>
    </w:p>
    <w:p>
      <w:pPr>
        <w:spacing w:after="0" w:line="15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Company’s operating leases consist primarily of leases for office space, data centers and satellite ground facilities and have remaining terms from less than one year to 10 years, some of which include renewal options, and some of which include options to terminate the leases within one year. 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recognizes right-of-use assets and lease liabilities for such leases in accordance with ASC 842. The Company reports operating lease right-of-use assets in operating lease right-of-use assets and the current and non-current portions of its operating lease liabilities in accrued and other liabilities and non-current operating lease liabilities,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9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For broadband equipment leased to fixed broadband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services are accounted for in accordance with ASC 606. The Company is also a lessor for certain insignificant communications equipment.</w:t>
      </w:r>
    </w:p>
    <w:p>
      <w:pPr>
        <w:spacing w:after="0"/>
        <w:rPr>
          <w:sz w:val="20"/>
          <w:szCs w:val="20"/>
          <w:color w:val="auto"/>
        </w:rPr>
      </w:pPr>
      <w:r>
        <w:rPr>
          <w:rFonts w:ascii="Arial" w:cs="Arial" w:eastAsia="Arial" w:hAnsi="Arial"/>
          <w:sz w:val="18"/>
          <w:szCs w:val="18"/>
          <w:color w:val="auto"/>
        </w:rPr>
        <w:t>These leases meet the criteria for operating lease classification. Lease income associated with these leases is not material.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authoritative guidance for business combinations (ASC 805) requires that all business combinations be accounted for using the purchase method. The purchase price for business combinations is allocated to the estimated fair values of acquired tangible and intangible assets, and assumed liabilities, where applicable. The Company recognizes technology, contracts and customer relationships, satellite co-location rights,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9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related to patents of $3.6 million and $3.5 million were included in other assets as of September 30, 2022 and March 31, 2022, respectively. The Company capitalized costs of $72.6 million and $64.1 million related to acquiring and obtaining orbital slots and other licenses included in other assets as of September 30, 2022 and March 31, 2022, respectively. Accumulated amortization related to these assets was $6.0 million and $5.4 million as of September 30, 2022 and March 31, 2022, respectively. Amortization expense related to these assets was an insignificant amount for the three and six months ended September 30, 2022 and 2021. If a patent, orbital slot or other license is rejected, abandoned or otherwise invalidated, the unamortized cost is expensed in that period. During the three and six months ended September 30, 2022 and 2021, the Company did not write off any significant costs due to abandonment or impairment.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During both the six months ended September 30, 2022 and 2021, no debt issuance costs were capitalized. Unamortized debt issuance costs related to extinguished debt are expensed at the time the debt is extinguished and recorded in loss on extinguishment of debt in the condensed consolidated statements of operations and comprehensive income (loss). Debt issuance costs related to the Company’s revolving credit facility (the Revolving Credit Facility) are recorded in other long-term assets in the condensed consolidated balance sheets in accordance with the authoritative guidance for imputation of interest (ASC 835-30). Debt issuance costs related to the Company’s $700.0 million senior secured term loan facility (the Term Loan Facility), 5.625% Senior Notes due 2025 (the 2025 Notes), the Company’s 5.625% Senior Secured Notes due 2027 (the 2027 Notes), the Company’s 6.500% Senior Notes due 2028 (the 2028 Notes and, together with the 2025 Notes and the 2027 Notes, the Notes) and the Ex-Im Credit Facility are recorded as a direct deduction from the carrying amount of the related debt, consistent with debt discounts, in accordance with the authoritative guidance for imputation of interest (ASC 835-30).</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9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Costs of developing software for sale are charged to independent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$218.9 million and $217.2 million related to software developed for resale were included in other assets as of September 30, 2022 and March 31, 2022, respectively. The Company capitalized $15.9 million and $24.6 million of costs related to software developed for resale for the three and six months ended September 30, 2022, respectively. The Company capitalized $11.0 million and $20.9 million of costs related to software developed for resale for the three and six months ended September 30, 2021, respectively. Amortization expense for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capitalized software development costs was $13.7 million and $22.9 million for the three and six months ended September 30, 2022, respectively, and $14.1 million and $28.2 million for the three and six months ended September 30, 2021,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9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$6.5 million and $5.8 million as of September 30, 2022 and March 31, 2022,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accordance with the estimated timing of the projected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September 30, 2022 and March 31, 2022, no such amounts were accrued related to the aforementioned provisions.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9"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147"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On August 15, 2022, TrellisWare, a majority-owned subsidiary of the Company, completed the repurchase of its common stock from participating stockholders for a total purchase price of approximately $30.0 million. The Company did not elect to participate in the share repurchase, and accordingly, the Company's ownership percentage of TrellisWare increased to slightly over 60% as a result of the share repurchase.</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effect of the change in the Company's percentage ownership interest in TrellisWare 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equity for the three and six months ended September 30, 2022 and 2021:</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(loss) attributable to Viasat,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Transfers to noncontrolling interest</w:t>
      </w:r>
    </w:p>
    <w:p>
      <w:pPr>
        <w:spacing w:after="0" w:line="23"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Change from net income (loss) attributable to Viasat, Inc. and transfers from (to) noncontrolling interest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2022</w:t>
            </w:r>
          </w:p>
        </w:tc>
        <w:tc>
          <w:tcPr>
            <w:tcW w:w="240" w:type="dxa"/>
            <w:vAlign w:val="bottom"/>
            <w:vMerge w:val="restart"/>
          </w:tcPr>
          <w:p>
            <w:pPr>
              <w:spacing w:after="0"/>
              <w:rPr>
                <w:sz w:val="11"/>
                <w:szCs w:val="11"/>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September 30,</w:t>
            </w: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189"/>
        </w:trPr>
        <w:tc>
          <w:tcPr>
            <w:tcW w:w="1380" w:type="dxa"/>
            <w:vAlign w:val="bottom"/>
            <w:tcBorders>
              <w:bottom w:val="single" w:sz="8" w:color="auto"/>
            </w:tcBorders>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4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(48,240 )</w:t>
            </w:r>
          </w:p>
        </w:tc>
        <w:tc>
          <w:tcPr>
            <w:tcW w:w="800" w:type="dxa"/>
            <w:vAlign w:val="bottom"/>
          </w:tcPr>
          <w:p>
            <w:pPr>
              <w:jc w:val="right"/>
              <w:ind w:right="59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3,291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(69,804 )</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20,259</w:t>
            </w: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(11,783 )</w:t>
            </w:r>
          </w:p>
        </w:tc>
        <w:tc>
          <w:tcPr>
            <w:tcW w:w="8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(11,783 )</w:t>
            </w: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(60,023 )</w:t>
            </w:r>
          </w:p>
        </w:tc>
        <w:tc>
          <w:tcPr>
            <w:tcW w:w="800" w:type="dxa"/>
            <w:vAlign w:val="bottom"/>
          </w:tcPr>
          <w:p>
            <w:pPr>
              <w:jc w:val="right"/>
              <w:ind w:right="59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3,291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(81,587 )</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20,259</w:t>
            </w:r>
          </w:p>
        </w:tc>
        <w:tc>
          <w:tcPr>
            <w:tcW w:w="0" w:type="dxa"/>
            <w:vAlign w:val="bottom"/>
          </w:tcPr>
          <w:p>
            <w:pPr>
              <w:spacing w:after="0"/>
              <w:rPr>
                <w:sz w:val="1"/>
                <w:szCs w:val="1"/>
                <w:color w:val="auto"/>
              </w:rPr>
            </w:pPr>
          </w:p>
        </w:tc>
      </w:tr>
      <w:tr>
        <w:trPr>
          <w:trHeight w:val="20"/>
        </w:trPr>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-539750</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-256540</wp:posOffset>
            </wp:positionV>
            <wp:extent cx="7132320" cy="2571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300"/>
            <w:col w:w="6340"/>
          </w:cols>
          <w:pgMar w:left="320" w:top="118" w:right="379" w:bottom="1440"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99"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and March 31, 2022, the Company had no shares of common stock held in treasury.</w:t>
      </w:r>
    </w:p>
    <w:p>
      <w:pPr>
        <w:spacing w:after="0" w:line="158"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During the three months ended September 30, 2022 and 2021, the Company issued 41,930 and 99,947 shares of common stock, respectively, based on the vesting terms of certain restricted stock unit agreements. During the six months ended September 30, 2022 and 2021, the Company issued 88,401 and 129,007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three months ended September 30, 2022 and 2021, the Company repurchased 8,532 and 24,617 shares of common stock, respectively, at cost and with a total value of an insignificant amount and $1.3 million, respectively. During the six months ended September 30, 2022 and 2021, the Company repurchased 21,697 and 33,338 shares of common stock, respectively, at cost and with a total value of an insignificant amount and $1.7 million,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total shareholder return (TSR) performance stock options that vest is recognized regardless of the actual TSR outcome achieved and is recognized on a graded-vesting basis. The Company accounts for forfeitures as they occur. The Company recognized $21.9 million and $42.1 million of stock-based compensation expense for the three and six months ended September 30, 2022, respectively. The Company recognized $20.6 million and $42.3 million of stock-based compensation expense for the three and six months ended September 30, 2021, respectively. The Company recognizes excess tax benefits or deficiencies on vesting or settlement of awards as discrete items within income tax benefit or provision within net income (loss) and the related cash flows are classified within operating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9"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53" w:lineRule="exact"/>
        <w:rPr>
          <w:sz w:val="20"/>
          <w:szCs w:val="20"/>
          <w:color w:val="auto"/>
        </w:rPr>
      </w:pPr>
    </w:p>
    <w:p>
      <w:pPr>
        <w:ind w:right="720" w:firstLine="509"/>
        <w:spacing w:after="0" w:line="246" w:lineRule="auto"/>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w:t>
      </w:r>
    </w:p>
    <w:p>
      <w:pPr>
        <w:spacing w:after="0" w:line="156"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8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August 2020, the Financial Accounting Standards Board (FASB) issued ASU 2020-06, Debt – Debt with Conversion and Other Options (ASC 470-20) and Derivatives and Hedging – Contracts in Entity’s Own Equity (Subtopic 815-40). ASU 2020-06 simplifies the accounting for convertible instruments by removing the beneficial conversion and cash conversion accounting models for convertible instruments and removes certain settlement conditions that are required for contracts to qualify for equity classification. This new standard also simplifies the diluted earnings per share calculations by requiring that an entity use the if-converted method for convertible instruments and requires that the effect of potential share settlement be included in diluted earnings per share calculations when an instrument may be settled in cash or shares. The new standard requires entities to provide expanded disclosures about the terms and features of convertible instruments, how the instruments have been reported in the entity’s financial statements, and information about events, conditions, and circumstances that can affect how to assess the amount or timing of an entity’s future cash flows related to those instruments. The Company adopted the new guidance in the first quarter of fiscal year 2023 and the guidance did not have a material impact on the Company’s consolidated financial statements and disclosures.</w:t>
      </w:r>
    </w:p>
    <w:p>
      <w:pPr>
        <w:spacing w:after="0" w:line="16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October 2021, the FASB issued ASU 2021-08, Business Combinations (ASC 805): Accounting for Contract Assets and Contract Liabilities from Contracts with Customers. ASU 2021-08 requires contract assets and contract liabilities acquired in a business combination to be recognized in accordance with ASC 606 as if the acquirer had originated the contracts. The new standard will become effective for the Company beginning in fiscal year 2024, with early adoption permitted. The Company is currently evaluating the impact of this standard on its consolidated financial statements and disclosures.</w:t>
      </w:r>
    </w:p>
    <w:p>
      <w:pPr>
        <w:spacing w:after="0" w:line="14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In November 2021, the FASB issued ASU 2021-10, Government Assistance (ASC 832): Disclosures by Business Entities about</w:t>
      </w:r>
    </w:p>
    <w:p>
      <w:pPr>
        <w:spacing w:after="0" w:line="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Government Assistance. ASU 2021-10 requires annual disclosures when an entity accounts for a transaction with a government by applying a grant or contribution accounting model by analogy to other accounting guidance. The new standard is effective for annual periods beginning after December 15, 2021. The Company will adopt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this guidance effective fiscal year-end 2023. The Company is currently evaluating the impact of this standard on its annual disclosures.</w:t>
      </w:r>
    </w:p>
    <w:p>
      <w:pPr>
        <w:spacing w:after="0" w:line="17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In March 2022, the FASB issued ASU 2022-01, Derivatives and Hedging (ASC 815): Targeted Improvements to Accounting for Hedging Activities. ASU 2022-01 made targeted improvements to the optional hedge accounting model with the objective of improving hedge accounting to better portray the economic results of an entity’s risk management activities in its financial statements. The new standard will become effective for the Company beginning in fiscal year 2024. The Company is currently evaluating the impact of this standard on its consolidated financial statements and disclosures.</w:t>
      </w:r>
    </w:p>
    <w:p>
      <w:pPr>
        <w:spacing w:after="0" w:line="14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March 2022, the FASB issued ASU 2022-02, Financial Instruments – Credit Losses (ASC 326): Troubled Debt Restructurings and Vintage Disclosures. ASU 2022-02 eliminates the accounting guidance for troubled debt restructurings by creditors in Subtopic 310-40, Receivables – Troubled Debt Restructurings by Creditors, while enhancing certain disclosure requirements for loan refinancings and restructurings by creditors when a borrower is experiencing financial difficulty. Furthermore, it requires that an entity disclose current-period gross write-offs by year of origination for financing receivables and net investments in leases within the scope of Subtopic 326-20, Financial Instruments – Credit Losses – Measured at Amortized Cost. The new standard will become effective for the Company beginning in fiscal year 2024. The Company is currently evaluating the impact of this standard on its consolidated financial statements and disclosures.</w:t>
      </w:r>
    </w:p>
    <w:p>
      <w:pPr>
        <w:spacing w:after="0" w:line="152" w:lineRule="exact"/>
        <w:rPr>
          <w:sz w:val="20"/>
          <w:szCs w:val="20"/>
          <w:color w:val="auto"/>
        </w:rPr>
      </w:pPr>
    </w:p>
    <w:p>
      <w:pPr>
        <w:ind w:right="320" w:firstLine="509"/>
        <w:spacing w:after="0" w:line="245" w:lineRule="auto"/>
        <w:rPr>
          <w:sz w:val="20"/>
          <w:szCs w:val="20"/>
          <w:color w:val="auto"/>
        </w:rPr>
      </w:pPr>
      <w:r>
        <w:rPr>
          <w:rFonts w:ascii="Arial" w:cs="Arial" w:eastAsia="Arial" w:hAnsi="Arial"/>
          <w:sz w:val="18"/>
          <w:szCs w:val="18"/>
          <w:color w:val="auto"/>
        </w:rPr>
        <w:t>In June 2022, the FASB issued ASU 2022-03, Fair Value Measurement (ASC 820): Fair Value Measurement of Equity Securities Subject to Contractual Sale Restrictions. ASU 2022-03 clarifies that a contractual restriction on the sale of an equity security is not considered in measuring the security's fair value. The standard also requires certain disclosures for equity securities that are subject to contractual restrictions. The new standard will become effective for the Company beginning in fiscal year 2025. The Company is currently evaluating the impact of this standard on its consolidated financial statements and disclosures.</w:t>
      </w:r>
    </w:p>
    <w:p>
      <w:pPr>
        <w:spacing w:after="0" w:line="145"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Septem</w:t>
      </w:r>
      <w:r>
        <w:rPr>
          <w:rFonts w:ascii="Arial" w:cs="Arial" w:eastAsia="Arial" w:hAnsi="Arial"/>
          <w:sz w:val="18"/>
          <w:szCs w:val="18"/>
          <w:color w:val="1D1C1D"/>
        </w:rPr>
        <w:t>ber 2022, the FASB issued ASU 2022-04, Liabilities – Supplier Finance Programs (Subtopic 405-50): Disclosure of Supplier</w:t>
      </w:r>
      <w:r>
        <w:rPr>
          <w:rFonts w:ascii="Arial" w:cs="Arial" w:eastAsia="Arial" w:hAnsi="Arial"/>
          <w:sz w:val="18"/>
          <w:szCs w:val="18"/>
          <w:color w:val="auto"/>
        </w:rPr>
        <w:t xml:space="preserve"> </w:t>
      </w:r>
      <w:r>
        <w:rPr>
          <w:rFonts w:ascii="Arial" w:cs="Arial" w:eastAsia="Arial" w:hAnsi="Arial"/>
          <w:sz w:val="18"/>
          <w:szCs w:val="18"/>
          <w:color w:val="1D1C1D"/>
        </w:rPr>
        <w:t>Finance Program Obligations. ASU 2022-04 enhances the transparency of supplier finance programs. In each annual reporting period, the buyer in a supplier finance program is required to disclose information about the key terms of the program, the outstanding confirmed amounts, a rollforward of such amounts, and a description of where those obligations are presented in the balance sheet. In each interim reporting period, the buyer should disclose the outstanding confirmed amounts as of the end of th</w:t>
      </w:r>
      <w:r>
        <w:rPr>
          <w:rFonts w:ascii="Arial" w:cs="Arial" w:eastAsia="Arial" w:hAnsi="Arial"/>
          <w:sz w:val="18"/>
          <w:szCs w:val="18"/>
          <w:color w:val="000000"/>
        </w:rPr>
        <w:t>e interim perio</w:t>
      </w:r>
      <w:r>
        <w:rPr>
          <w:rFonts w:ascii="Arial" w:cs="Arial" w:eastAsia="Arial" w:hAnsi="Arial"/>
          <w:sz w:val="18"/>
          <w:szCs w:val="18"/>
          <w:color w:val="1D1C1D"/>
        </w:rPr>
        <w:t>d. The new standard will become effective for the Company beginning in fiscal year 2024, except for the amendment on rollfoward information, which will become effective in fiscal year 2025. The Company is currently evaluating the impact of this standard on its consolidated financial statements and disclosures.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80" w:type="dxa"/>
            <w:vAlign w:val="bottom"/>
            <w:gridSpan w:val="2"/>
          </w:tcPr>
          <w:p>
            <w:pPr>
              <w:jc w:val="right"/>
              <w:ind w:right="886"/>
              <w:spacing w:after="0"/>
              <w:rPr>
                <w:sz w:val="20"/>
                <w:szCs w:val="20"/>
                <w:color w:val="auto"/>
              </w:rPr>
            </w:pPr>
            <w:r>
              <w:rPr>
                <w:rFonts w:ascii="Arial" w:cs="Arial" w:eastAsia="Arial" w:hAnsi="Arial"/>
                <w:sz w:val="11"/>
                <w:szCs w:val="11"/>
                <w:b w:val="1"/>
                <w:bCs w:val="1"/>
                <w:color w:val="auto"/>
              </w:rPr>
              <w:t>As of</w:t>
            </w:r>
          </w:p>
        </w:tc>
        <w:tc>
          <w:tcPr>
            <w:tcW w:w="320" w:type="dxa"/>
            <w:vAlign w:val="bottom"/>
          </w:tcPr>
          <w:p>
            <w:pPr>
              <w:spacing w:after="0"/>
              <w:rPr>
                <w:sz w:val="10"/>
                <w:szCs w:val="10"/>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1"/>
                <w:szCs w:val="11"/>
                <w:b w:val="1"/>
                <w:bCs w:val="1"/>
                <w:color w:val="auto"/>
              </w:rPr>
              <w:t>As of</w:t>
            </w:r>
          </w:p>
        </w:tc>
      </w:tr>
      <w:tr>
        <w:trPr>
          <w:trHeight w:val="142"/>
        </w:trPr>
        <w:tc>
          <w:tcPr>
            <w:tcW w:w="7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jc w:val="right"/>
              <w:ind w:right="506"/>
              <w:spacing w:after="0"/>
              <w:rPr>
                <w:sz w:val="20"/>
                <w:szCs w:val="20"/>
                <w:color w:val="auto"/>
              </w:rPr>
            </w:pPr>
            <w:r>
              <w:rPr>
                <w:rFonts w:ascii="Arial" w:cs="Arial" w:eastAsia="Arial" w:hAnsi="Arial"/>
                <w:sz w:val="11"/>
                <w:szCs w:val="11"/>
                <w:b w:val="1"/>
                <w:bCs w:val="1"/>
                <w:color w:val="auto"/>
              </w:rPr>
              <w:t>September 30, 2022</w:t>
            </w:r>
          </w:p>
        </w:tc>
        <w:tc>
          <w:tcPr>
            <w:tcW w:w="320" w:type="dxa"/>
            <w:vAlign w:val="bottom"/>
          </w:tcPr>
          <w:p>
            <w:pPr>
              <w:spacing w:after="0"/>
              <w:rPr>
                <w:sz w:val="12"/>
                <w:szCs w:val="12"/>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March 31, 2022</w:t>
            </w: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8"/>
        </w:trPr>
        <w:tc>
          <w:tcPr>
            <w:tcW w:w="7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jc w:val="right"/>
              <w:ind w:right="42"/>
              <w:spacing w:after="0"/>
              <w:rPr>
                <w:sz w:val="20"/>
                <w:szCs w:val="20"/>
                <w:color w:val="auto"/>
              </w:rPr>
            </w:pPr>
            <w:r>
              <w:rPr>
                <w:rFonts w:ascii="Arial" w:cs="Arial" w:eastAsia="Arial" w:hAnsi="Arial"/>
                <w:sz w:val="11"/>
                <w:szCs w:val="11"/>
                <w:b w:val="1"/>
                <w:bCs w:val="1"/>
                <w:color w:val="auto"/>
              </w:rPr>
              <w:t>(In</w:t>
            </w:r>
          </w:p>
        </w:tc>
        <w:tc>
          <w:tcPr>
            <w:tcW w:w="600" w:type="dxa"/>
            <w:vAlign w:val="bottom"/>
            <w:gridSpan w:val="2"/>
          </w:tcPr>
          <w:p>
            <w:pPr>
              <w:jc w:val="right"/>
              <w:ind w:right="42"/>
              <w:spacing w:after="0"/>
              <w:rPr>
                <w:sz w:val="20"/>
                <w:szCs w:val="20"/>
                <w:color w:val="auto"/>
              </w:rPr>
            </w:pPr>
            <w:r>
              <w:rPr>
                <w:rFonts w:ascii="Arial" w:cs="Arial" w:eastAsia="Arial" w:hAnsi="Arial"/>
                <w:sz w:val="11"/>
                <w:szCs w:val="11"/>
                <w:b w:val="1"/>
                <w:bCs w:val="1"/>
                <w:color w:val="auto"/>
                <w:w w:val="80"/>
              </w:rPr>
              <w:t>thousands)</w:t>
            </w: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7680" w:type="dxa"/>
            <w:vAlign w:val="bottom"/>
            <w:shd w:val="clear" w:color="auto" w:fill="CFF0FC"/>
          </w:tcPr>
          <w:p>
            <w:pPr>
              <w:ind w:left="20"/>
              <w:spacing w:after="0"/>
              <w:rPr>
                <w:sz w:val="20"/>
                <w:szCs w:val="20"/>
                <w:color w:val="auto"/>
              </w:rPr>
            </w:pPr>
            <w:r>
              <w:rPr>
                <w:rFonts w:ascii="Arial" w:cs="Arial" w:eastAsia="Arial" w:hAnsi="Arial"/>
                <w:sz w:val="12"/>
                <w:szCs w:val="12"/>
                <w:color w:val="auto"/>
              </w:rPr>
              <w:t>Accounts receivable, net:</w:t>
            </w:r>
          </w:p>
        </w:tc>
        <w:tc>
          <w:tcPr>
            <w:tcW w:w="2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5"/>
        </w:trPr>
        <w:tc>
          <w:tcPr>
            <w:tcW w:w="7680" w:type="dxa"/>
            <w:vAlign w:val="bottom"/>
          </w:tcPr>
          <w:p>
            <w:pPr>
              <w:ind w:left="200"/>
              <w:spacing w:after="0"/>
              <w:rPr>
                <w:sz w:val="20"/>
                <w:szCs w:val="20"/>
                <w:color w:val="auto"/>
              </w:rPr>
            </w:pPr>
            <w:r>
              <w:rPr>
                <w:rFonts w:ascii="Arial" w:cs="Arial" w:eastAsia="Arial" w:hAnsi="Arial"/>
                <w:sz w:val="12"/>
                <w:szCs w:val="12"/>
                <w:color w:val="auto"/>
              </w:rPr>
              <w:t>Billed</w:t>
            </w: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251,098</w:t>
            </w:r>
          </w:p>
        </w:tc>
        <w:tc>
          <w:tcPr>
            <w:tcW w:w="28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233,948</w:t>
            </w:r>
          </w:p>
        </w:tc>
        <w:tc>
          <w:tcPr>
            <w:tcW w:w="100" w:type="dxa"/>
            <w:vAlign w:val="bottom"/>
          </w:tcPr>
          <w:p>
            <w:pPr>
              <w:spacing w:after="0"/>
              <w:rPr>
                <w:sz w:val="12"/>
                <w:szCs w:val="12"/>
                <w:color w:val="auto"/>
              </w:rPr>
            </w:pPr>
          </w:p>
        </w:tc>
      </w:tr>
      <w:tr>
        <w:trPr>
          <w:trHeight w:val="152"/>
        </w:trPr>
        <w:tc>
          <w:tcPr>
            <w:tcW w:w="7680" w:type="dxa"/>
            <w:vAlign w:val="bottom"/>
            <w:shd w:val="clear" w:color="auto" w:fill="CFF0FC"/>
          </w:tcPr>
          <w:p>
            <w:pPr>
              <w:ind w:left="200"/>
              <w:spacing w:after="0"/>
              <w:rPr>
                <w:sz w:val="20"/>
                <w:szCs w:val="20"/>
                <w:color w:val="auto"/>
              </w:rPr>
            </w:pPr>
            <w:r>
              <w:rPr>
                <w:rFonts w:ascii="Arial" w:cs="Arial" w:eastAsia="Arial" w:hAnsi="Arial"/>
                <w:sz w:val="12"/>
                <w:szCs w:val="12"/>
                <w:color w:val="auto"/>
              </w:rPr>
              <w:t>Unbilled</w:t>
            </w: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83,000</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85,383</w:t>
            </w:r>
          </w:p>
        </w:tc>
        <w:tc>
          <w:tcPr>
            <w:tcW w:w="100" w:type="dxa"/>
            <w:vAlign w:val="bottom"/>
            <w:shd w:val="clear" w:color="auto" w:fill="CFF0FC"/>
          </w:tcPr>
          <w:p>
            <w:pPr>
              <w:spacing w:after="0"/>
              <w:rPr>
                <w:sz w:val="13"/>
                <w:szCs w:val="13"/>
                <w:color w:val="auto"/>
              </w:rPr>
            </w:pPr>
          </w:p>
        </w:tc>
      </w:tr>
      <w:tr>
        <w:trPr>
          <w:trHeight w:val="145"/>
        </w:trPr>
        <w:tc>
          <w:tcPr>
            <w:tcW w:w="7680" w:type="dxa"/>
            <w:vAlign w:val="bottom"/>
          </w:tcPr>
          <w:p>
            <w:pPr>
              <w:ind w:left="200"/>
              <w:spacing w:after="0"/>
              <w:rPr>
                <w:sz w:val="20"/>
                <w:szCs w:val="20"/>
                <w:color w:val="auto"/>
              </w:rPr>
            </w:pPr>
            <w:r>
              <w:rPr>
                <w:rFonts w:ascii="Arial" w:cs="Arial" w:eastAsia="Arial" w:hAnsi="Arial"/>
                <w:sz w:val="12"/>
                <w:szCs w:val="12"/>
                <w:color w:val="auto"/>
              </w:rPr>
              <w:t>Allowance for doubtful accounts</w:t>
            </w:r>
          </w:p>
        </w:tc>
        <w:tc>
          <w:tcPr>
            <w:tcW w:w="200" w:type="dxa"/>
            <w:vAlign w:val="bottom"/>
          </w:tcPr>
          <w:p>
            <w:pPr>
              <w:spacing w:after="0"/>
              <w:rPr>
                <w:sz w:val="12"/>
                <w:szCs w:val="12"/>
                <w:color w:val="auto"/>
              </w:rPr>
            </w:pPr>
          </w:p>
        </w:tc>
        <w:tc>
          <w:tcPr>
            <w:tcW w:w="1680" w:type="dxa"/>
            <w:vAlign w:val="bottom"/>
            <w:gridSpan w:val="2"/>
          </w:tcPr>
          <w:p>
            <w:pPr>
              <w:jc w:val="right"/>
              <w:ind w:right="166"/>
              <w:spacing w:after="0"/>
              <w:rPr>
                <w:sz w:val="20"/>
                <w:szCs w:val="20"/>
                <w:color w:val="auto"/>
              </w:rPr>
            </w:pPr>
            <w:r>
              <w:rPr>
                <w:rFonts w:ascii="Arial" w:cs="Arial" w:eastAsia="Arial" w:hAnsi="Arial"/>
                <w:sz w:val="12"/>
                <w:szCs w:val="12"/>
                <w:color w:val="auto"/>
              </w:rPr>
              <w:t>(13,849 )</w:t>
            </w:r>
          </w:p>
        </w:tc>
        <w:tc>
          <w:tcPr>
            <w:tcW w:w="320" w:type="dxa"/>
            <w:vAlign w:val="bottom"/>
          </w:tcPr>
          <w:p>
            <w:pPr>
              <w:spacing w:after="0"/>
              <w:rPr>
                <w:sz w:val="12"/>
                <w:szCs w:val="1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2"/>
                <w:szCs w:val="12"/>
                <w:color w:val="auto"/>
              </w:rPr>
              <w:t>(7,159 )</w:t>
            </w:r>
          </w:p>
        </w:tc>
      </w:tr>
      <w:tr>
        <w:trPr>
          <w:trHeight w:val="182"/>
        </w:trPr>
        <w:tc>
          <w:tcPr>
            <w:tcW w:w="76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62"/>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320,249</w:t>
            </w:r>
          </w:p>
        </w:tc>
        <w:tc>
          <w:tcPr>
            <w:tcW w:w="2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312,172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7680" w:type="dxa"/>
            <w:vAlign w:val="bottom"/>
          </w:tcPr>
          <w:p>
            <w:pPr>
              <w:ind w:left="20"/>
              <w:spacing w:after="0" w:line="129" w:lineRule="exact"/>
              <w:rPr>
                <w:sz w:val="20"/>
                <w:szCs w:val="20"/>
                <w:color w:val="auto"/>
              </w:rPr>
            </w:pPr>
            <w:r>
              <w:rPr>
                <w:rFonts w:ascii="Arial" w:cs="Arial" w:eastAsia="Arial" w:hAnsi="Arial"/>
                <w:sz w:val="12"/>
                <w:szCs w:val="12"/>
                <w:color w:val="auto"/>
              </w:rPr>
              <w:t>Inventories:</w:t>
            </w: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2"/>
        </w:trPr>
        <w:tc>
          <w:tcPr>
            <w:tcW w:w="7680" w:type="dxa"/>
            <w:vAlign w:val="bottom"/>
            <w:shd w:val="clear" w:color="auto" w:fill="CFF0FC"/>
          </w:tcPr>
          <w:p>
            <w:pPr>
              <w:ind w:left="200"/>
              <w:spacing w:after="0"/>
              <w:rPr>
                <w:sz w:val="20"/>
                <w:szCs w:val="20"/>
                <w:color w:val="auto"/>
              </w:rPr>
            </w:pPr>
            <w:r>
              <w:rPr>
                <w:rFonts w:ascii="Arial" w:cs="Arial" w:eastAsia="Arial" w:hAnsi="Arial"/>
                <w:sz w:val="12"/>
                <w:szCs w:val="12"/>
                <w:color w:val="auto"/>
              </w:rPr>
              <w:t>Raw materials</w:t>
            </w:r>
          </w:p>
        </w:tc>
        <w:tc>
          <w:tcPr>
            <w:tcW w:w="20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71,752</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62,520</w:t>
            </w:r>
          </w:p>
        </w:tc>
        <w:tc>
          <w:tcPr>
            <w:tcW w:w="100" w:type="dxa"/>
            <w:vAlign w:val="bottom"/>
            <w:shd w:val="clear" w:color="auto" w:fill="CFF0FC"/>
          </w:tcPr>
          <w:p>
            <w:pPr>
              <w:spacing w:after="0"/>
              <w:rPr>
                <w:sz w:val="13"/>
                <w:szCs w:val="13"/>
                <w:color w:val="auto"/>
              </w:rPr>
            </w:pPr>
          </w:p>
        </w:tc>
      </w:tr>
      <w:tr>
        <w:trPr>
          <w:trHeight w:val="145"/>
        </w:trPr>
        <w:tc>
          <w:tcPr>
            <w:tcW w:w="7680" w:type="dxa"/>
            <w:vAlign w:val="bottom"/>
          </w:tcPr>
          <w:p>
            <w:pPr>
              <w:ind w:left="200"/>
              <w:spacing w:after="0"/>
              <w:rPr>
                <w:sz w:val="20"/>
                <w:szCs w:val="20"/>
                <w:color w:val="auto"/>
              </w:rPr>
            </w:pPr>
            <w:r>
              <w:rPr>
                <w:rFonts w:ascii="Arial" w:cs="Arial" w:eastAsia="Arial" w:hAnsi="Arial"/>
                <w:sz w:val="12"/>
                <w:szCs w:val="12"/>
                <w:color w:val="auto"/>
              </w:rPr>
              <w:t>Work in process</w:t>
            </w:r>
          </w:p>
        </w:tc>
        <w:tc>
          <w:tcPr>
            <w:tcW w:w="2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23,066</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21,702</w:t>
            </w:r>
          </w:p>
        </w:tc>
        <w:tc>
          <w:tcPr>
            <w:tcW w:w="100" w:type="dxa"/>
            <w:vAlign w:val="bottom"/>
          </w:tcPr>
          <w:p>
            <w:pPr>
              <w:spacing w:after="0"/>
              <w:rPr>
                <w:sz w:val="12"/>
                <w:szCs w:val="12"/>
                <w:color w:val="auto"/>
              </w:rPr>
            </w:pPr>
          </w:p>
        </w:tc>
      </w:tr>
      <w:tr>
        <w:trPr>
          <w:trHeight w:val="148"/>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Finished goods</w:t>
            </w:r>
          </w:p>
        </w:tc>
        <w:tc>
          <w:tcPr>
            <w:tcW w:w="20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149,466</w:t>
            </w:r>
          </w:p>
        </w:tc>
        <w:tc>
          <w:tcPr>
            <w:tcW w:w="28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113,642</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680" w:type="dxa"/>
            <w:vAlign w:val="bottom"/>
          </w:tcPr>
          <w:p>
            <w:pPr>
              <w:spacing w:after="0"/>
              <w:rPr>
                <w:sz w:val="12"/>
                <w:szCs w:val="12"/>
                <w:color w:val="auto"/>
              </w:rPr>
            </w:pPr>
          </w:p>
        </w:tc>
        <w:tc>
          <w:tcPr>
            <w:tcW w:w="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244,284</w:t>
            </w:r>
          </w:p>
        </w:tc>
        <w:tc>
          <w:tcPr>
            <w:tcW w:w="280" w:type="dxa"/>
            <w:vAlign w:val="bottom"/>
          </w:tcPr>
          <w:p>
            <w:pPr>
              <w:spacing w:after="0"/>
              <w:rPr>
                <w:sz w:val="12"/>
                <w:szCs w:val="12"/>
                <w:color w:val="auto"/>
              </w:rPr>
            </w:pPr>
          </w:p>
        </w:tc>
        <w:tc>
          <w:tcPr>
            <w:tcW w:w="3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197,864</w:t>
            </w:r>
          </w:p>
        </w:tc>
        <w:tc>
          <w:tcPr>
            <w:tcW w:w="100" w:type="dxa"/>
            <w:vAlign w:val="bottom"/>
          </w:tcPr>
          <w:p>
            <w:pPr>
              <w:spacing w:after="0"/>
              <w:rPr>
                <w:sz w:val="12"/>
                <w:szCs w:val="12"/>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
        </w:trPr>
        <w:tc>
          <w:tcPr>
            <w:tcW w:w="7680" w:type="dxa"/>
            <w:vAlign w:val="bottom"/>
            <w:shd w:val="clear" w:color="auto" w:fill="CFF0FC"/>
          </w:tcPr>
          <w:p>
            <w:pPr>
              <w:ind w:left="20"/>
              <w:spacing w:after="0" w:line="133" w:lineRule="exact"/>
              <w:rPr>
                <w:sz w:val="20"/>
                <w:szCs w:val="20"/>
                <w:color w:val="auto"/>
              </w:rPr>
            </w:pPr>
            <w:r>
              <w:rPr>
                <w:rFonts w:ascii="Arial" w:cs="Arial" w:eastAsia="Arial" w:hAnsi="Arial"/>
                <w:sz w:val="12"/>
                <w:szCs w:val="12"/>
                <w:color w:val="auto"/>
              </w:rPr>
              <w:t>Prepaid expenses and other current assets:</w:t>
            </w:r>
          </w:p>
        </w:tc>
        <w:tc>
          <w:tcPr>
            <w:tcW w:w="20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5"/>
        </w:trPr>
        <w:tc>
          <w:tcPr>
            <w:tcW w:w="7680" w:type="dxa"/>
            <w:vAlign w:val="bottom"/>
          </w:tcPr>
          <w:p>
            <w:pPr>
              <w:ind w:left="200"/>
              <w:spacing w:after="0"/>
              <w:rPr>
                <w:sz w:val="20"/>
                <w:szCs w:val="20"/>
                <w:color w:val="auto"/>
              </w:rPr>
            </w:pPr>
            <w:r>
              <w:rPr>
                <w:rFonts w:ascii="Arial" w:cs="Arial" w:eastAsia="Arial" w:hAnsi="Arial"/>
                <w:sz w:val="12"/>
                <w:szCs w:val="12"/>
                <w:color w:val="auto"/>
              </w:rPr>
              <w:t>Prepaid expenses</w:t>
            </w: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96,075</w:t>
            </w:r>
          </w:p>
        </w:tc>
        <w:tc>
          <w:tcPr>
            <w:tcW w:w="28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102,433</w:t>
            </w:r>
          </w:p>
        </w:tc>
        <w:tc>
          <w:tcPr>
            <w:tcW w:w="100" w:type="dxa"/>
            <w:vAlign w:val="bottom"/>
          </w:tcPr>
          <w:p>
            <w:pPr>
              <w:spacing w:after="0"/>
              <w:rPr>
                <w:sz w:val="12"/>
                <w:szCs w:val="12"/>
                <w:color w:val="auto"/>
              </w:rPr>
            </w:pPr>
          </w:p>
        </w:tc>
      </w:tr>
      <w:tr>
        <w:trPr>
          <w:trHeight w:val="148"/>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Other</w:t>
            </w:r>
          </w:p>
        </w:tc>
        <w:tc>
          <w:tcPr>
            <w:tcW w:w="20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52,047</w:t>
            </w:r>
          </w:p>
        </w:tc>
        <w:tc>
          <w:tcPr>
            <w:tcW w:w="28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38,953</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680" w:type="dxa"/>
            <w:vAlign w:val="bottom"/>
          </w:tcPr>
          <w:p>
            <w:pPr>
              <w:spacing w:after="0"/>
              <w:rPr>
                <w:sz w:val="12"/>
                <w:szCs w:val="12"/>
                <w:color w:val="auto"/>
              </w:rPr>
            </w:pPr>
          </w:p>
        </w:tc>
        <w:tc>
          <w:tcPr>
            <w:tcW w:w="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148,122</w:t>
            </w:r>
          </w:p>
        </w:tc>
        <w:tc>
          <w:tcPr>
            <w:tcW w:w="280" w:type="dxa"/>
            <w:vAlign w:val="bottom"/>
          </w:tcPr>
          <w:p>
            <w:pPr>
              <w:spacing w:after="0"/>
              <w:rPr>
                <w:sz w:val="12"/>
                <w:szCs w:val="12"/>
                <w:color w:val="auto"/>
              </w:rPr>
            </w:pPr>
          </w:p>
        </w:tc>
        <w:tc>
          <w:tcPr>
            <w:tcW w:w="3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141,386</w:t>
            </w:r>
          </w:p>
        </w:tc>
        <w:tc>
          <w:tcPr>
            <w:tcW w:w="100" w:type="dxa"/>
            <w:vAlign w:val="bottom"/>
          </w:tcPr>
          <w:p>
            <w:pPr>
              <w:spacing w:after="0"/>
              <w:rPr>
                <w:sz w:val="12"/>
                <w:szCs w:val="12"/>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
        </w:trPr>
        <w:tc>
          <w:tcPr>
            <w:tcW w:w="7680" w:type="dxa"/>
            <w:vAlign w:val="bottom"/>
            <w:shd w:val="clear" w:color="auto" w:fill="CFF0FC"/>
          </w:tcPr>
          <w:p>
            <w:pPr>
              <w:ind w:left="20"/>
              <w:spacing w:after="0" w:line="133" w:lineRule="exact"/>
              <w:rPr>
                <w:sz w:val="20"/>
                <w:szCs w:val="20"/>
                <w:color w:val="auto"/>
              </w:rPr>
            </w:pPr>
            <w:r>
              <w:rPr>
                <w:rFonts w:ascii="Arial" w:cs="Arial" w:eastAsia="Arial" w:hAnsi="Arial"/>
                <w:sz w:val="12"/>
                <w:szCs w:val="12"/>
                <w:color w:val="auto"/>
              </w:rPr>
              <w:t>Property, equipment and satellites, net:</w:t>
            </w:r>
          </w:p>
        </w:tc>
        <w:tc>
          <w:tcPr>
            <w:tcW w:w="20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5"/>
        </w:trPr>
        <w:tc>
          <w:tcPr>
            <w:tcW w:w="7680" w:type="dxa"/>
            <w:vAlign w:val="bottom"/>
          </w:tcPr>
          <w:p>
            <w:pPr>
              <w:ind w:left="200"/>
              <w:spacing w:after="0"/>
              <w:rPr>
                <w:sz w:val="20"/>
                <w:szCs w:val="20"/>
                <w:color w:val="auto"/>
              </w:rPr>
            </w:pPr>
            <w:r>
              <w:rPr>
                <w:rFonts w:ascii="Arial" w:cs="Arial" w:eastAsia="Arial" w:hAnsi="Arial"/>
                <w:sz w:val="12"/>
                <w:szCs w:val="12"/>
                <w:color w:val="auto"/>
              </w:rPr>
              <w:t>Equipment and software (estimated useful life of 3-7 years)</w:t>
            </w: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1,765,905</w:t>
            </w:r>
          </w:p>
        </w:tc>
        <w:tc>
          <w:tcPr>
            <w:tcW w:w="28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1,676,736</w:t>
            </w:r>
          </w:p>
        </w:tc>
        <w:tc>
          <w:tcPr>
            <w:tcW w:w="100" w:type="dxa"/>
            <w:vAlign w:val="bottom"/>
          </w:tcPr>
          <w:p>
            <w:pPr>
              <w:spacing w:after="0"/>
              <w:rPr>
                <w:sz w:val="12"/>
                <w:szCs w:val="12"/>
                <w:color w:val="auto"/>
              </w:rPr>
            </w:pPr>
          </w:p>
        </w:tc>
      </w:tr>
      <w:tr>
        <w:trPr>
          <w:trHeight w:val="152"/>
        </w:trPr>
        <w:tc>
          <w:tcPr>
            <w:tcW w:w="7680" w:type="dxa"/>
            <w:vAlign w:val="bottom"/>
            <w:shd w:val="clear" w:color="auto" w:fill="CFF0FC"/>
          </w:tcPr>
          <w:p>
            <w:pPr>
              <w:ind w:left="200"/>
              <w:spacing w:after="0"/>
              <w:rPr>
                <w:sz w:val="20"/>
                <w:szCs w:val="20"/>
                <w:color w:val="auto"/>
              </w:rPr>
            </w:pPr>
            <w:r>
              <w:rPr>
                <w:rFonts w:ascii="Arial" w:cs="Arial" w:eastAsia="Arial" w:hAnsi="Arial"/>
                <w:sz w:val="12"/>
                <w:szCs w:val="12"/>
                <w:color w:val="auto"/>
              </w:rPr>
              <w:t>CPE leased equipment (estimated useful life of 4-5 years)</w:t>
            </w: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380,240</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395,539</w:t>
            </w:r>
          </w:p>
        </w:tc>
        <w:tc>
          <w:tcPr>
            <w:tcW w:w="100" w:type="dxa"/>
            <w:vAlign w:val="bottom"/>
            <w:shd w:val="clear" w:color="auto" w:fill="CFF0FC"/>
          </w:tcPr>
          <w:p>
            <w:pPr>
              <w:spacing w:after="0"/>
              <w:rPr>
                <w:sz w:val="13"/>
                <w:szCs w:val="13"/>
                <w:color w:val="auto"/>
              </w:rPr>
            </w:pPr>
          </w:p>
        </w:tc>
      </w:tr>
      <w:tr>
        <w:trPr>
          <w:trHeight w:val="145"/>
        </w:trPr>
        <w:tc>
          <w:tcPr>
            <w:tcW w:w="7680" w:type="dxa"/>
            <w:vAlign w:val="bottom"/>
          </w:tcPr>
          <w:p>
            <w:pPr>
              <w:ind w:left="200"/>
              <w:spacing w:after="0"/>
              <w:rPr>
                <w:sz w:val="20"/>
                <w:szCs w:val="20"/>
                <w:color w:val="auto"/>
              </w:rPr>
            </w:pPr>
            <w:r>
              <w:rPr>
                <w:rFonts w:ascii="Arial" w:cs="Arial" w:eastAsia="Arial" w:hAnsi="Arial"/>
                <w:sz w:val="12"/>
                <w:szCs w:val="12"/>
                <w:color w:val="auto"/>
              </w:rPr>
              <w:t>Furniture and fixtures (estimated useful life of 7 years)</w:t>
            </w:r>
          </w:p>
        </w:tc>
        <w:tc>
          <w:tcPr>
            <w:tcW w:w="2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58,426</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57,847</w:t>
            </w:r>
          </w:p>
        </w:tc>
        <w:tc>
          <w:tcPr>
            <w:tcW w:w="100" w:type="dxa"/>
            <w:vAlign w:val="bottom"/>
          </w:tcPr>
          <w:p>
            <w:pPr>
              <w:spacing w:after="0"/>
              <w:rPr>
                <w:sz w:val="12"/>
                <w:szCs w:val="12"/>
                <w:color w:val="auto"/>
              </w:rPr>
            </w:pPr>
          </w:p>
        </w:tc>
      </w:tr>
      <w:tr>
        <w:trPr>
          <w:trHeight w:val="152"/>
        </w:trPr>
        <w:tc>
          <w:tcPr>
            <w:tcW w:w="7680" w:type="dxa"/>
            <w:vAlign w:val="bottom"/>
            <w:shd w:val="clear" w:color="auto" w:fill="CFF0FC"/>
          </w:tcPr>
          <w:p>
            <w:pPr>
              <w:ind w:left="200"/>
              <w:spacing w:after="0"/>
              <w:rPr>
                <w:sz w:val="20"/>
                <w:szCs w:val="20"/>
                <w:color w:val="auto"/>
              </w:rPr>
            </w:pPr>
            <w:r>
              <w:rPr>
                <w:rFonts w:ascii="Arial" w:cs="Arial" w:eastAsia="Arial" w:hAnsi="Arial"/>
                <w:sz w:val="12"/>
                <w:szCs w:val="12"/>
                <w:color w:val="auto"/>
              </w:rPr>
              <w:t>Leasehold improvements (estimated useful life of 2-17 years)</w:t>
            </w: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149,947</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149,982</w:t>
            </w:r>
          </w:p>
        </w:tc>
        <w:tc>
          <w:tcPr>
            <w:tcW w:w="100" w:type="dxa"/>
            <w:vAlign w:val="bottom"/>
            <w:shd w:val="clear" w:color="auto" w:fill="CFF0FC"/>
          </w:tcPr>
          <w:p>
            <w:pPr>
              <w:spacing w:after="0"/>
              <w:rPr>
                <w:sz w:val="13"/>
                <w:szCs w:val="13"/>
                <w:color w:val="auto"/>
              </w:rPr>
            </w:pPr>
          </w:p>
        </w:tc>
      </w:tr>
      <w:tr>
        <w:trPr>
          <w:trHeight w:val="145"/>
        </w:trPr>
        <w:tc>
          <w:tcPr>
            <w:tcW w:w="7680" w:type="dxa"/>
            <w:vAlign w:val="bottom"/>
          </w:tcPr>
          <w:p>
            <w:pPr>
              <w:ind w:left="200"/>
              <w:spacing w:after="0"/>
              <w:rPr>
                <w:sz w:val="20"/>
                <w:szCs w:val="20"/>
                <w:color w:val="auto"/>
              </w:rPr>
            </w:pPr>
            <w:r>
              <w:rPr>
                <w:rFonts w:ascii="Arial" w:cs="Arial" w:eastAsia="Arial" w:hAnsi="Arial"/>
                <w:sz w:val="12"/>
                <w:szCs w:val="12"/>
                <w:color w:val="auto"/>
              </w:rPr>
              <w:t>Buildings (estimated useful life of 12-38 years)</w:t>
            </w:r>
          </w:p>
        </w:tc>
        <w:tc>
          <w:tcPr>
            <w:tcW w:w="2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12,368</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12,440</w:t>
            </w:r>
          </w:p>
        </w:tc>
        <w:tc>
          <w:tcPr>
            <w:tcW w:w="100" w:type="dxa"/>
            <w:vAlign w:val="bottom"/>
          </w:tcPr>
          <w:p>
            <w:pPr>
              <w:spacing w:after="0"/>
              <w:rPr>
                <w:sz w:val="12"/>
                <w:szCs w:val="12"/>
                <w:color w:val="auto"/>
              </w:rPr>
            </w:pPr>
          </w:p>
        </w:tc>
      </w:tr>
      <w:tr>
        <w:trPr>
          <w:trHeight w:val="152"/>
        </w:trPr>
        <w:tc>
          <w:tcPr>
            <w:tcW w:w="7680" w:type="dxa"/>
            <w:vAlign w:val="bottom"/>
            <w:shd w:val="clear" w:color="auto" w:fill="CFF0FC"/>
          </w:tcPr>
          <w:p>
            <w:pPr>
              <w:ind w:left="200"/>
              <w:spacing w:after="0"/>
              <w:rPr>
                <w:sz w:val="20"/>
                <w:szCs w:val="20"/>
                <w:color w:val="auto"/>
              </w:rPr>
            </w:pPr>
            <w:r>
              <w:rPr>
                <w:rFonts w:ascii="Arial" w:cs="Arial" w:eastAsia="Arial" w:hAnsi="Arial"/>
                <w:sz w:val="12"/>
                <w:szCs w:val="12"/>
                <w:color w:val="auto"/>
              </w:rPr>
              <w:t>Land</w:t>
            </w: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3,766</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3,944</w:t>
            </w:r>
          </w:p>
        </w:tc>
        <w:tc>
          <w:tcPr>
            <w:tcW w:w="100" w:type="dxa"/>
            <w:vAlign w:val="bottom"/>
            <w:shd w:val="clear" w:color="auto" w:fill="CFF0FC"/>
          </w:tcPr>
          <w:p>
            <w:pPr>
              <w:spacing w:after="0"/>
              <w:rPr>
                <w:sz w:val="13"/>
                <w:szCs w:val="13"/>
                <w:color w:val="auto"/>
              </w:rPr>
            </w:pPr>
          </w:p>
        </w:tc>
      </w:tr>
      <w:tr>
        <w:trPr>
          <w:trHeight w:val="145"/>
        </w:trPr>
        <w:tc>
          <w:tcPr>
            <w:tcW w:w="7680" w:type="dxa"/>
            <w:vAlign w:val="bottom"/>
          </w:tcPr>
          <w:p>
            <w:pPr>
              <w:ind w:left="200"/>
              <w:spacing w:after="0"/>
              <w:rPr>
                <w:sz w:val="20"/>
                <w:szCs w:val="20"/>
                <w:color w:val="auto"/>
              </w:rPr>
            </w:pPr>
            <w:r>
              <w:rPr>
                <w:rFonts w:ascii="Arial" w:cs="Arial" w:eastAsia="Arial" w:hAnsi="Arial"/>
                <w:sz w:val="12"/>
                <w:szCs w:val="12"/>
                <w:color w:val="auto"/>
              </w:rPr>
              <w:t>Construction in progress</w:t>
            </w:r>
          </w:p>
        </w:tc>
        <w:tc>
          <w:tcPr>
            <w:tcW w:w="2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522,009</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381,679</w:t>
            </w:r>
          </w:p>
        </w:tc>
        <w:tc>
          <w:tcPr>
            <w:tcW w:w="100" w:type="dxa"/>
            <w:vAlign w:val="bottom"/>
          </w:tcPr>
          <w:p>
            <w:pPr>
              <w:spacing w:after="0"/>
              <w:rPr>
                <w:sz w:val="12"/>
                <w:szCs w:val="12"/>
                <w:color w:val="auto"/>
              </w:rPr>
            </w:pPr>
          </w:p>
        </w:tc>
      </w:tr>
      <w:tr>
        <w:trPr>
          <w:trHeight w:val="152"/>
        </w:trPr>
        <w:tc>
          <w:tcPr>
            <w:tcW w:w="7680" w:type="dxa"/>
            <w:vAlign w:val="bottom"/>
            <w:shd w:val="clear" w:color="auto" w:fill="CFF0FC"/>
          </w:tcPr>
          <w:p>
            <w:pPr>
              <w:ind w:left="200"/>
              <w:spacing w:after="0"/>
              <w:rPr>
                <w:sz w:val="20"/>
                <w:szCs w:val="20"/>
                <w:color w:val="auto"/>
              </w:rPr>
            </w:pPr>
            <w:r>
              <w:rPr>
                <w:rFonts w:ascii="Arial" w:cs="Arial" w:eastAsia="Arial" w:hAnsi="Arial"/>
                <w:sz w:val="12"/>
                <w:szCs w:val="12"/>
                <w:color w:val="auto"/>
              </w:rPr>
              <w:t>Satellites (estimated useful life of 7-17 years)</w:t>
            </w: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1,047,188</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1,059,182</w:t>
            </w:r>
          </w:p>
        </w:tc>
        <w:tc>
          <w:tcPr>
            <w:tcW w:w="100" w:type="dxa"/>
            <w:vAlign w:val="bottom"/>
            <w:shd w:val="clear" w:color="auto" w:fill="CFF0FC"/>
          </w:tcPr>
          <w:p>
            <w:pPr>
              <w:spacing w:after="0"/>
              <w:rPr>
                <w:sz w:val="13"/>
                <w:szCs w:val="13"/>
                <w:color w:val="auto"/>
              </w:rPr>
            </w:pPr>
          </w:p>
        </w:tc>
      </w:tr>
      <w:tr>
        <w:trPr>
          <w:trHeight w:val="145"/>
        </w:trPr>
        <w:tc>
          <w:tcPr>
            <w:tcW w:w="7680" w:type="dxa"/>
            <w:vAlign w:val="bottom"/>
          </w:tcPr>
          <w:p>
            <w:pPr>
              <w:ind w:left="200"/>
              <w:spacing w:after="0"/>
              <w:rPr>
                <w:sz w:val="20"/>
                <w:szCs w:val="20"/>
                <w:color w:val="auto"/>
              </w:rPr>
            </w:pPr>
            <w:r>
              <w:rPr>
                <w:rFonts w:ascii="Arial" w:cs="Arial" w:eastAsia="Arial" w:hAnsi="Arial"/>
                <w:sz w:val="12"/>
                <w:szCs w:val="12"/>
                <w:color w:val="auto"/>
              </w:rPr>
              <w:t>Satellite Ka-band capacity obtained under finance leases (estimated useful life of 7-11 years)</w:t>
            </w:r>
          </w:p>
        </w:tc>
        <w:tc>
          <w:tcPr>
            <w:tcW w:w="2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176,348</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173,480</w:t>
            </w:r>
          </w:p>
        </w:tc>
        <w:tc>
          <w:tcPr>
            <w:tcW w:w="100" w:type="dxa"/>
            <w:vAlign w:val="bottom"/>
          </w:tcPr>
          <w:p>
            <w:pPr>
              <w:spacing w:after="0"/>
              <w:rPr>
                <w:sz w:val="12"/>
                <w:szCs w:val="12"/>
                <w:color w:val="auto"/>
              </w:rPr>
            </w:pPr>
          </w:p>
        </w:tc>
      </w:tr>
      <w:tr>
        <w:trPr>
          <w:trHeight w:val="149"/>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Satellites under construction</w:t>
            </w:r>
          </w:p>
        </w:tc>
        <w:tc>
          <w:tcPr>
            <w:tcW w:w="20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2,042,569</w:t>
            </w:r>
          </w:p>
        </w:tc>
        <w:tc>
          <w:tcPr>
            <w:tcW w:w="28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1,808,474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6,158,766</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5,719,303</w:t>
            </w:r>
          </w:p>
        </w:tc>
        <w:tc>
          <w:tcPr>
            <w:tcW w:w="100" w:type="dxa"/>
            <w:vAlign w:val="bottom"/>
          </w:tcPr>
          <w:p>
            <w:pPr>
              <w:spacing w:after="0"/>
              <w:rPr>
                <w:sz w:val="12"/>
                <w:szCs w:val="12"/>
                <w:color w:val="auto"/>
              </w:rPr>
            </w:pPr>
          </w:p>
        </w:tc>
      </w:tr>
      <w:tr>
        <w:trPr>
          <w:trHeight w:val="148"/>
        </w:trPr>
        <w:tc>
          <w:tcPr>
            <w:tcW w:w="7680" w:type="dxa"/>
            <w:vAlign w:val="bottom"/>
            <w:shd w:val="clear" w:color="auto" w:fill="CFF0FC"/>
          </w:tcPr>
          <w:p>
            <w:pPr>
              <w:ind w:left="200"/>
              <w:spacing w:after="0"/>
              <w:rPr>
                <w:sz w:val="20"/>
                <w:szCs w:val="20"/>
                <w:color w:val="auto"/>
              </w:rPr>
            </w:pPr>
            <w:r>
              <w:rPr>
                <w:rFonts w:ascii="Arial" w:cs="Arial" w:eastAsia="Arial" w:hAnsi="Arial"/>
                <w:sz w:val="12"/>
                <w:szCs w:val="12"/>
                <w:color w:val="auto"/>
              </w:rPr>
              <w:t>Less: accumulated depreciation and amortization</w:t>
            </w:r>
          </w:p>
        </w:tc>
        <w:tc>
          <w:tcPr>
            <w:tcW w:w="20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166"/>
              <w:spacing w:after="0"/>
              <w:rPr>
                <w:sz w:val="20"/>
                <w:szCs w:val="20"/>
                <w:color w:val="auto"/>
              </w:rPr>
            </w:pPr>
            <w:r>
              <w:rPr>
                <w:rFonts w:ascii="Arial" w:cs="Arial" w:eastAsia="Arial" w:hAnsi="Arial"/>
                <w:sz w:val="12"/>
                <w:szCs w:val="12"/>
                <w:color w:val="auto"/>
              </w:rPr>
              <w:t>(2,156,024 )</w:t>
            </w:r>
          </w:p>
        </w:tc>
        <w:tc>
          <w:tcPr>
            <w:tcW w:w="3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(2,014,312 )</w:t>
            </w:r>
          </w:p>
        </w:tc>
      </w:tr>
      <w:tr>
        <w:trPr>
          <w:trHeight w:val="142"/>
        </w:trPr>
        <w:tc>
          <w:tcPr>
            <w:tcW w:w="7680" w:type="dxa"/>
            <w:vAlign w:val="bottom"/>
            <w:tcBorders>
              <w:top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4,002,742</w:t>
            </w:r>
          </w:p>
        </w:tc>
        <w:tc>
          <w:tcPr>
            <w:tcW w:w="280" w:type="dxa"/>
            <w:vAlign w:val="bottom"/>
            <w:tcBorders>
              <w:top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3,704,991</w:t>
            </w:r>
          </w:p>
        </w:tc>
        <w:tc>
          <w:tcPr>
            <w:tcW w:w="100" w:type="dxa"/>
            <w:vAlign w:val="bottom"/>
            <w:tcBorders>
              <w:top w:val="single" w:sz="8" w:color="CFF0FC"/>
            </w:tcBorders>
          </w:tcPr>
          <w:p>
            <w:pPr>
              <w:spacing w:after="0"/>
              <w:rPr>
                <w:sz w:val="12"/>
                <w:szCs w:val="12"/>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
        </w:trPr>
        <w:tc>
          <w:tcPr>
            <w:tcW w:w="7680" w:type="dxa"/>
            <w:vAlign w:val="bottom"/>
            <w:shd w:val="clear" w:color="auto" w:fill="CFF0FC"/>
          </w:tcPr>
          <w:p>
            <w:pPr>
              <w:ind w:left="20"/>
              <w:spacing w:after="0" w:line="133" w:lineRule="exact"/>
              <w:rPr>
                <w:sz w:val="20"/>
                <w:szCs w:val="20"/>
                <w:color w:val="auto"/>
              </w:rPr>
            </w:pPr>
            <w:r>
              <w:rPr>
                <w:rFonts w:ascii="Arial" w:cs="Arial" w:eastAsia="Arial" w:hAnsi="Arial"/>
                <w:sz w:val="12"/>
                <w:szCs w:val="12"/>
                <w:color w:val="auto"/>
              </w:rPr>
              <w:t>Other acquired intangible assets, net:</w:t>
            </w:r>
          </w:p>
        </w:tc>
        <w:tc>
          <w:tcPr>
            <w:tcW w:w="20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5"/>
        </w:trPr>
        <w:tc>
          <w:tcPr>
            <w:tcW w:w="7680" w:type="dxa"/>
            <w:vAlign w:val="bottom"/>
          </w:tcPr>
          <w:p>
            <w:pPr>
              <w:ind w:left="200"/>
              <w:spacing w:after="0"/>
              <w:rPr>
                <w:sz w:val="20"/>
                <w:szCs w:val="20"/>
                <w:color w:val="auto"/>
              </w:rPr>
            </w:pPr>
            <w:r>
              <w:rPr>
                <w:rFonts w:ascii="Arial" w:cs="Arial" w:eastAsia="Arial" w:hAnsi="Arial"/>
                <w:sz w:val="12"/>
                <w:szCs w:val="12"/>
                <w:color w:val="auto"/>
              </w:rPr>
              <w:t>Technology (weighted average useful life of 7 years)</w:t>
            </w: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146,866</w:t>
            </w:r>
          </w:p>
        </w:tc>
        <w:tc>
          <w:tcPr>
            <w:tcW w:w="28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154,624</w:t>
            </w:r>
          </w:p>
        </w:tc>
        <w:tc>
          <w:tcPr>
            <w:tcW w:w="100" w:type="dxa"/>
            <w:vAlign w:val="bottom"/>
          </w:tcPr>
          <w:p>
            <w:pPr>
              <w:spacing w:after="0"/>
              <w:rPr>
                <w:sz w:val="12"/>
                <w:szCs w:val="12"/>
                <w:color w:val="auto"/>
              </w:rPr>
            </w:pPr>
          </w:p>
        </w:tc>
      </w:tr>
      <w:tr>
        <w:trPr>
          <w:trHeight w:val="152"/>
        </w:trPr>
        <w:tc>
          <w:tcPr>
            <w:tcW w:w="7680" w:type="dxa"/>
            <w:vAlign w:val="bottom"/>
            <w:shd w:val="clear" w:color="auto" w:fill="CFF0FC"/>
          </w:tcPr>
          <w:p>
            <w:pPr>
              <w:ind w:left="200"/>
              <w:spacing w:after="0"/>
              <w:rPr>
                <w:sz w:val="20"/>
                <w:szCs w:val="20"/>
                <w:color w:val="auto"/>
              </w:rPr>
            </w:pPr>
            <w:r>
              <w:rPr>
                <w:rFonts w:ascii="Arial" w:cs="Arial" w:eastAsia="Arial" w:hAnsi="Arial"/>
                <w:sz w:val="12"/>
                <w:szCs w:val="12"/>
                <w:color w:val="auto"/>
              </w:rPr>
              <w:t>Contracts and customer relationships (weighted average useful life of 10 years)</w:t>
            </w: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159,172</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164,635</w:t>
            </w:r>
          </w:p>
        </w:tc>
        <w:tc>
          <w:tcPr>
            <w:tcW w:w="100" w:type="dxa"/>
            <w:vAlign w:val="bottom"/>
            <w:shd w:val="clear" w:color="auto" w:fill="CFF0FC"/>
          </w:tcPr>
          <w:p>
            <w:pPr>
              <w:spacing w:after="0"/>
              <w:rPr>
                <w:sz w:val="13"/>
                <w:szCs w:val="13"/>
                <w:color w:val="auto"/>
              </w:rPr>
            </w:pPr>
          </w:p>
        </w:tc>
      </w:tr>
      <w:tr>
        <w:trPr>
          <w:trHeight w:val="145"/>
        </w:trPr>
        <w:tc>
          <w:tcPr>
            <w:tcW w:w="7680" w:type="dxa"/>
            <w:vAlign w:val="bottom"/>
          </w:tcPr>
          <w:p>
            <w:pPr>
              <w:ind w:left="200"/>
              <w:spacing w:after="0"/>
              <w:rPr>
                <w:sz w:val="20"/>
                <w:szCs w:val="20"/>
                <w:color w:val="auto"/>
              </w:rPr>
            </w:pPr>
            <w:r>
              <w:rPr>
                <w:rFonts w:ascii="Arial" w:cs="Arial" w:eastAsia="Arial" w:hAnsi="Arial"/>
                <w:sz w:val="12"/>
                <w:szCs w:val="12"/>
                <w:color w:val="auto"/>
              </w:rPr>
              <w:t>Satellite co-location rights (weighted average useful life of 9 years)</w:t>
            </w:r>
          </w:p>
        </w:tc>
        <w:tc>
          <w:tcPr>
            <w:tcW w:w="2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8,600</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8,600</w:t>
            </w:r>
          </w:p>
        </w:tc>
        <w:tc>
          <w:tcPr>
            <w:tcW w:w="100" w:type="dxa"/>
            <w:vAlign w:val="bottom"/>
          </w:tcPr>
          <w:p>
            <w:pPr>
              <w:spacing w:after="0"/>
              <w:rPr>
                <w:sz w:val="12"/>
                <w:szCs w:val="12"/>
                <w:color w:val="auto"/>
              </w:rPr>
            </w:pPr>
          </w:p>
        </w:tc>
      </w:tr>
      <w:tr>
        <w:trPr>
          <w:trHeight w:val="152"/>
        </w:trPr>
        <w:tc>
          <w:tcPr>
            <w:tcW w:w="7680" w:type="dxa"/>
            <w:vAlign w:val="bottom"/>
            <w:shd w:val="clear" w:color="auto" w:fill="CFF0FC"/>
          </w:tcPr>
          <w:p>
            <w:pPr>
              <w:ind w:left="200"/>
              <w:spacing w:after="0"/>
              <w:rPr>
                <w:sz w:val="20"/>
                <w:szCs w:val="20"/>
                <w:color w:val="auto"/>
              </w:rPr>
            </w:pPr>
            <w:r>
              <w:rPr>
                <w:rFonts w:ascii="Arial" w:cs="Arial" w:eastAsia="Arial" w:hAnsi="Arial"/>
                <w:sz w:val="12"/>
                <w:szCs w:val="12"/>
                <w:color w:val="auto"/>
              </w:rPr>
              <w:t>Trade name (weighted average useful life of 7 years)</w:t>
            </w: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31,999</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32,463</w:t>
            </w:r>
          </w:p>
        </w:tc>
        <w:tc>
          <w:tcPr>
            <w:tcW w:w="100" w:type="dxa"/>
            <w:vAlign w:val="bottom"/>
            <w:shd w:val="clear" w:color="auto" w:fill="CFF0FC"/>
          </w:tcPr>
          <w:p>
            <w:pPr>
              <w:spacing w:after="0"/>
              <w:rPr>
                <w:sz w:val="13"/>
                <w:szCs w:val="13"/>
                <w:color w:val="auto"/>
              </w:rPr>
            </w:pPr>
          </w:p>
        </w:tc>
      </w:tr>
      <w:tr>
        <w:trPr>
          <w:trHeight w:val="145"/>
        </w:trPr>
        <w:tc>
          <w:tcPr>
            <w:tcW w:w="7680" w:type="dxa"/>
            <w:vAlign w:val="bottom"/>
          </w:tcPr>
          <w:p>
            <w:pPr>
              <w:ind w:left="200"/>
              <w:spacing w:after="0"/>
              <w:rPr>
                <w:sz w:val="20"/>
                <w:szCs w:val="20"/>
                <w:color w:val="auto"/>
              </w:rPr>
            </w:pPr>
            <w:r>
              <w:rPr>
                <w:rFonts w:ascii="Arial" w:cs="Arial" w:eastAsia="Arial" w:hAnsi="Arial"/>
                <w:sz w:val="12"/>
                <w:szCs w:val="12"/>
                <w:color w:val="auto"/>
              </w:rPr>
              <w:t>Other (weighted average useful life of 11 years)</w:t>
            </w:r>
          </w:p>
        </w:tc>
        <w:tc>
          <w:tcPr>
            <w:tcW w:w="2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21,021</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22,263</w:t>
            </w:r>
          </w:p>
        </w:tc>
        <w:tc>
          <w:tcPr>
            <w:tcW w:w="100" w:type="dxa"/>
            <w:vAlign w:val="bottom"/>
          </w:tcPr>
          <w:p>
            <w:pPr>
              <w:spacing w:after="0"/>
              <w:rPr>
                <w:sz w:val="12"/>
                <w:szCs w:val="12"/>
                <w:color w:val="auto"/>
              </w:rPr>
            </w:pPr>
          </w:p>
        </w:tc>
      </w:tr>
      <w:tr>
        <w:trPr>
          <w:trHeight w:val="145"/>
        </w:trPr>
        <w:tc>
          <w:tcPr>
            <w:tcW w:w="7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367,658</w:t>
            </w: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382,585</w:t>
            </w:r>
          </w:p>
        </w:tc>
        <w:tc>
          <w:tcPr>
            <w:tcW w:w="100" w:type="dxa"/>
            <w:vAlign w:val="bottom"/>
            <w:shd w:val="clear" w:color="auto" w:fill="CFF0FC"/>
          </w:tcPr>
          <w:p>
            <w:pPr>
              <w:spacing w:after="0"/>
              <w:rPr>
                <w:sz w:val="12"/>
                <w:szCs w:val="12"/>
                <w:color w:val="auto"/>
              </w:rPr>
            </w:pPr>
          </w:p>
        </w:tc>
      </w:tr>
      <w:tr>
        <w:trPr>
          <w:trHeight w:val="145"/>
        </w:trPr>
        <w:tc>
          <w:tcPr>
            <w:tcW w:w="7680" w:type="dxa"/>
            <w:vAlign w:val="bottom"/>
          </w:tcPr>
          <w:p>
            <w:pPr>
              <w:ind w:left="200"/>
              <w:spacing w:after="0"/>
              <w:rPr>
                <w:sz w:val="20"/>
                <w:szCs w:val="20"/>
                <w:color w:val="auto"/>
              </w:rPr>
            </w:pPr>
            <w:r>
              <w:rPr>
                <w:rFonts w:ascii="Arial" w:cs="Arial" w:eastAsia="Arial" w:hAnsi="Arial"/>
                <w:sz w:val="12"/>
                <w:szCs w:val="12"/>
                <w:color w:val="auto"/>
              </w:rPr>
              <w:t>Less: accumulated amortization</w:t>
            </w:r>
          </w:p>
        </w:tc>
        <w:tc>
          <w:tcPr>
            <w:tcW w:w="200" w:type="dxa"/>
            <w:vAlign w:val="bottom"/>
          </w:tcPr>
          <w:p>
            <w:pPr>
              <w:spacing w:after="0"/>
              <w:rPr>
                <w:sz w:val="12"/>
                <w:szCs w:val="12"/>
                <w:color w:val="auto"/>
              </w:rPr>
            </w:pPr>
          </w:p>
        </w:tc>
        <w:tc>
          <w:tcPr>
            <w:tcW w:w="1680" w:type="dxa"/>
            <w:vAlign w:val="bottom"/>
            <w:gridSpan w:val="2"/>
          </w:tcPr>
          <w:p>
            <w:pPr>
              <w:jc w:val="right"/>
              <w:ind w:right="166"/>
              <w:spacing w:after="0"/>
              <w:rPr>
                <w:sz w:val="20"/>
                <w:szCs w:val="20"/>
                <w:color w:val="auto"/>
              </w:rPr>
            </w:pPr>
            <w:r>
              <w:rPr>
                <w:rFonts w:ascii="Arial" w:cs="Arial" w:eastAsia="Arial" w:hAnsi="Arial"/>
                <w:sz w:val="12"/>
                <w:szCs w:val="12"/>
                <w:color w:val="auto"/>
              </w:rPr>
              <w:t>(156,385 )</w:t>
            </w:r>
          </w:p>
        </w:tc>
        <w:tc>
          <w:tcPr>
            <w:tcW w:w="320" w:type="dxa"/>
            <w:vAlign w:val="bottom"/>
          </w:tcPr>
          <w:p>
            <w:pPr>
              <w:spacing w:after="0"/>
              <w:rPr>
                <w:sz w:val="12"/>
                <w:szCs w:val="1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2"/>
                <w:szCs w:val="12"/>
                <w:color w:val="auto"/>
              </w:rPr>
              <w:t>(146,542 )</w:t>
            </w:r>
          </w:p>
        </w:tc>
      </w:tr>
      <w:tr>
        <w:trPr>
          <w:trHeight w:val="182"/>
        </w:trPr>
        <w:tc>
          <w:tcPr>
            <w:tcW w:w="76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62"/>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211,273</w:t>
            </w:r>
          </w:p>
        </w:tc>
        <w:tc>
          <w:tcPr>
            <w:tcW w:w="2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236,043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7680" w:type="dxa"/>
            <w:vAlign w:val="bottom"/>
          </w:tcPr>
          <w:p>
            <w:pPr>
              <w:ind w:left="20"/>
              <w:spacing w:after="0" w:line="129" w:lineRule="exact"/>
              <w:rPr>
                <w:sz w:val="20"/>
                <w:szCs w:val="20"/>
                <w:color w:val="auto"/>
              </w:rPr>
            </w:pPr>
            <w:r>
              <w:rPr>
                <w:rFonts w:ascii="Arial" w:cs="Arial" w:eastAsia="Arial" w:hAnsi="Arial"/>
                <w:sz w:val="12"/>
                <w:szCs w:val="12"/>
                <w:color w:val="auto"/>
              </w:rPr>
              <w:t>Other assets:</w:t>
            </w: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2"/>
        </w:trPr>
        <w:tc>
          <w:tcPr>
            <w:tcW w:w="7680" w:type="dxa"/>
            <w:vAlign w:val="bottom"/>
            <w:shd w:val="clear" w:color="auto" w:fill="CFF0FC"/>
          </w:tcPr>
          <w:p>
            <w:pPr>
              <w:ind w:left="200"/>
              <w:spacing w:after="0"/>
              <w:rPr>
                <w:sz w:val="20"/>
                <w:szCs w:val="20"/>
                <w:color w:val="auto"/>
              </w:rPr>
            </w:pPr>
            <w:r>
              <w:rPr>
                <w:rFonts w:ascii="Arial" w:cs="Arial" w:eastAsia="Arial" w:hAnsi="Arial"/>
                <w:sz w:val="12"/>
                <w:szCs w:val="12"/>
                <w:color w:val="auto"/>
              </w:rPr>
              <w:t>Deferred income taxes</w:t>
            </w:r>
          </w:p>
        </w:tc>
        <w:tc>
          <w:tcPr>
            <w:tcW w:w="20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243,394</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304,642</w:t>
            </w:r>
          </w:p>
        </w:tc>
        <w:tc>
          <w:tcPr>
            <w:tcW w:w="100" w:type="dxa"/>
            <w:vAlign w:val="bottom"/>
            <w:shd w:val="clear" w:color="auto" w:fill="CFF0FC"/>
          </w:tcPr>
          <w:p>
            <w:pPr>
              <w:spacing w:after="0"/>
              <w:rPr>
                <w:sz w:val="13"/>
                <w:szCs w:val="13"/>
                <w:color w:val="auto"/>
              </w:rPr>
            </w:pPr>
          </w:p>
        </w:tc>
      </w:tr>
      <w:tr>
        <w:trPr>
          <w:trHeight w:val="145"/>
        </w:trPr>
        <w:tc>
          <w:tcPr>
            <w:tcW w:w="7680" w:type="dxa"/>
            <w:vAlign w:val="bottom"/>
          </w:tcPr>
          <w:p>
            <w:pPr>
              <w:ind w:left="200"/>
              <w:spacing w:after="0"/>
              <w:rPr>
                <w:sz w:val="20"/>
                <w:szCs w:val="20"/>
                <w:color w:val="auto"/>
              </w:rPr>
            </w:pPr>
            <w:r>
              <w:rPr>
                <w:rFonts w:ascii="Arial" w:cs="Arial" w:eastAsia="Arial" w:hAnsi="Arial"/>
                <w:sz w:val="12"/>
                <w:szCs w:val="12"/>
                <w:color w:val="auto"/>
              </w:rPr>
              <w:t>Capitalized software costs, net</w:t>
            </w:r>
          </w:p>
        </w:tc>
        <w:tc>
          <w:tcPr>
            <w:tcW w:w="2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218,865</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217,159</w:t>
            </w:r>
          </w:p>
        </w:tc>
        <w:tc>
          <w:tcPr>
            <w:tcW w:w="100" w:type="dxa"/>
            <w:vAlign w:val="bottom"/>
          </w:tcPr>
          <w:p>
            <w:pPr>
              <w:spacing w:after="0"/>
              <w:rPr>
                <w:sz w:val="12"/>
                <w:szCs w:val="12"/>
                <w:color w:val="auto"/>
              </w:rPr>
            </w:pPr>
          </w:p>
        </w:tc>
      </w:tr>
      <w:tr>
        <w:trPr>
          <w:trHeight w:val="152"/>
        </w:trPr>
        <w:tc>
          <w:tcPr>
            <w:tcW w:w="7680" w:type="dxa"/>
            <w:vAlign w:val="bottom"/>
            <w:shd w:val="clear" w:color="auto" w:fill="CFF0FC"/>
          </w:tcPr>
          <w:p>
            <w:pPr>
              <w:ind w:left="200"/>
              <w:spacing w:after="0"/>
              <w:rPr>
                <w:sz w:val="20"/>
                <w:szCs w:val="20"/>
                <w:color w:val="auto"/>
              </w:rPr>
            </w:pPr>
            <w:r>
              <w:rPr>
                <w:rFonts w:ascii="Arial" w:cs="Arial" w:eastAsia="Arial" w:hAnsi="Arial"/>
                <w:sz w:val="12"/>
                <w:szCs w:val="12"/>
                <w:color w:val="auto"/>
              </w:rPr>
              <w:t>Patents, orbital slots and other licenses, net</w:t>
            </w: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70,213</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62,200</w:t>
            </w:r>
          </w:p>
        </w:tc>
        <w:tc>
          <w:tcPr>
            <w:tcW w:w="100" w:type="dxa"/>
            <w:vAlign w:val="bottom"/>
            <w:shd w:val="clear" w:color="auto" w:fill="CFF0FC"/>
          </w:tcPr>
          <w:p>
            <w:pPr>
              <w:spacing w:after="0"/>
              <w:rPr>
                <w:sz w:val="13"/>
                <w:szCs w:val="13"/>
                <w:color w:val="auto"/>
              </w:rPr>
            </w:pPr>
          </w:p>
        </w:tc>
      </w:tr>
      <w:tr>
        <w:trPr>
          <w:trHeight w:val="145"/>
        </w:trPr>
        <w:tc>
          <w:tcPr>
            <w:tcW w:w="7680" w:type="dxa"/>
            <w:vAlign w:val="bottom"/>
          </w:tcPr>
          <w:p>
            <w:pPr>
              <w:ind w:left="200"/>
              <w:spacing w:after="0"/>
              <w:rPr>
                <w:sz w:val="20"/>
                <w:szCs w:val="20"/>
                <w:color w:val="auto"/>
              </w:rPr>
            </w:pPr>
            <w:r>
              <w:rPr>
                <w:rFonts w:ascii="Arial" w:cs="Arial" w:eastAsia="Arial" w:hAnsi="Arial"/>
                <w:sz w:val="12"/>
                <w:szCs w:val="12"/>
                <w:color w:val="auto"/>
              </w:rPr>
              <w:t>Other</w:t>
            </w:r>
          </w:p>
        </w:tc>
        <w:tc>
          <w:tcPr>
            <w:tcW w:w="2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136,793</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115,279</w:t>
            </w:r>
          </w:p>
        </w:tc>
        <w:tc>
          <w:tcPr>
            <w:tcW w:w="100" w:type="dxa"/>
            <w:vAlign w:val="bottom"/>
          </w:tcPr>
          <w:p>
            <w:pPr>
              <w:spacing w:after="0"/>
              <w:rPr>
                <w:sz w:val="12"/>
                <w:szCs w:val="12"/>
                <w:color w:val="auto"/>
              </w:rPr>
            </w:pPr>
          </w:p>
        </w:tc>
      </w:tr>
      <w:tr>
        <w:trPr>
          <w:trHeight w:val="182"/>
        </w:trPr>
        <w:tc>
          <w:tcPr>
            <w:tcW w:w="76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669,265</w:t>
            </w:r>
          </w:p>
        </w:tc>
        <w:tc>
          <w:tcPr>
            <w:tcW w:w="2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699,280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7680" w:type="dxa"/>
            <w:vAlign w:val="bottom"/>
          </w:tcPr>
          <w:p>
            <w:pPr>
              <w:ind w:left="20"/>
              <w:spacing w:after="0" w:line="129" w:lineRule="exact"/>
              <w:rPr>
                <w:sz w:val="20"/>
                <w:szCs w:val="20"/>
                <w:color w:val="auto"/>
              </w:rPr>
            </w:pPr>
            <w:r>
              <w:rPr>
                <w:rFonts w:ascii="Arial" w:cs="Arial" w:eastAsia="Arial" w:hAnsi="Arial"/>
                <w:sz w:val="12"/>
                <w:szCs w:val="12"/>
                <w:color w:val="auto"/>
              </w:rPr>
              <w:t>Accrued and other liabilities:</w:t>
            </w: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2"/>
        </w:trPr>
        <w:tc>
          <w:tcPr>
            <w:tcW w:w="7680" w:type="dxa"/>
            <w:vAlign w:val="bottom"/>
            <w:shd w:val="clear" w:color="auto" w:fill="CFF0FC"/>
          </w:tcPr>
          <w:p>
            <w:pPr>
              <w:ind w:left="200"/>
              <w:spacing w:after="0"/>
              <w:rPr>
                <w:sz w:val="20"/>
                <w:szCs w:val="20"/>
                <w:color w:val="auto"/>
              </w:rPr>
            </w:pPr>
            <w:r>
              <w:rPr>
                <w:rFonts w:ascii="Arial" w:cs="Arial" w:eastAsia="Arial" w:hAnsi="Arial"/>
                <w:sz w:val="12"/>
                <w:szCs w:val="12"/>
                <w:color w:val="auto"/>
              </w:rPr>
              <w:t>Collections in excess of revenues and deferred revenues</w:t>
            </w:r>
          </w:p>
        </w:tc>
        <w:tc>
          <w:tcPr>
            <w:tcW w:w="20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133,639</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131,623</w:t>
            </w:r>
          </w:p>
        </w:tc>
        <w:tc>
          <w:tcPr>
            <w:tcW w:w="100" w:type="dxa"/>
            <w:vAlign w:val="bottom"/>
            <w:shd w:val="clear" w:color="auto" w:fill="CFF0FC"/>
          </w:tcPr>
          <w:p>
            <w:pPr>
              <w:spacing w:after="0"/>
              <w:rPr>
                <w:sz w:val="13"/>
                <w:szCs w:val="13"/>
                <w:color w:val="auto"/>
              </w:rPr>
            </w:pPr>
          </w:p>
        </w:tc>
      </w:tr>
      <w:tr>
        <w:trPr>
          <w:trHeight w:val="145"/>
        </w:trPr>
        <w:tc>
          <w:tcPr>
            <w:tcW w:w="7680" w:type="dxa"/>
            <w:vAlign w:val="bottom"/>
          </w:tcPr>
          <w:p>
            <w:pPr>
              <w:ind w:left="200"/>
              <w:spacing w:after="0"/>
              <w:rPr>
                <w:sz w:val="20"/>
                <w:szCs w:val="20"/>
                <w:color w:val="auto"/>
              </w:rPr>
            </w:pPr>
            <w:r>
              <w:rPr>
                <w:rFonts w:ascii="Arial" w:cs="Arial" w:eastAsia="Arial" w:hAnsi="Arial"/>
                <w:sz w:val="12"/>
                <w:szCs w:val="12"/>
                <w:color w:val="auto"/>
              </w:rPr>
              <w:t>Accrued employee compensation</w:t>
            </w:r>
          </w:p>
        </w:tc>
        <w:tc>
          <w:tcPr>
            <w:tcW w:w="2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73,911</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108,456</w:t>
            </w:r>
          </w:p>
        </w:tc>
        <w:tc>
          <w:tcPr>
            <w:tcW w:w="100" w:type="dxa"/>
            <w:vAlign w:val="bottom"/>
          </w:tcPr>
          <w:p>
            <w:pPr>
              <w:spacing w:after="0"/>
              <w:rPr>
                <w:sz w:val="12"/>
                <w:szCs w:val="12"/>
                <w:color w:val="auto"/>
              </w:rPr>
            </w:pPr>
          </w:p>
        </w:tc>
      </w:tr>
      <w:tr>
        <w:trPr>
          <w:trHeight w:val="152"/>
        </w:trPr>
        <w:tc>
          <w:tcPr>
            <w:tcW w:w="7680" w:type="dxa"/>
            <w:vAlign w:val="bottom"/>
            <w:shd w:val="clear" w:color="auto" w:fill="CFF0FC"/>
          </w:tcPr>
          <w:p>
            <w:pPr>
              <w:ind w:left="200"/>
              <w:spacing w:after="0"/>
              <w:rPr>
                <w:sz w:val="20"/>
                <w:szCs w:val="20"/>
                <w:color w:val="auto"/>
              </w:rPr>
            </w:pPr>
            <w:r>
              <w:rPr>
                <w:rFonts w:ascii="Arial" w:cs="Arial" w:eastAsia="Arial" w:hAnsi="Arial"/>
                <w:sz w:val="12"/>
                <w:szCs w:val="12"/>
                <w:color w:val="auto"/>
              </w:rPr>
              <w:t>Accrued vacation</w:t>
            </w: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43,309</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48,097</w:t>
            </w:r>
          </w:p>
        </w:tc>
        <w:tc>
          <w:tcPr>
            <w:tcW w:w="100" w:type="dxa"/>
            <w:vAlign w:val="bottom"/>
            <w:shd w:val="clear" w:color="auto" w:fill="CFF0FC"/>
          </w:tcPr>
          <w:p>
            <w:pPr>
              <w:spacing w:after="0"/>
              <w:rPr>
                <w:sz w:val="13"/>
                <w:szCs w:val="13"/>
                <w:color w:val="auto"/>
              </w:rPr>
            </w:pPr>
          </w:p>
        </w:tc>
      </w:tr>
      <w:tr>
        <w:trPr>
          <w:trHeight w:val="145"/>
        </w:trPr>
        <w:tc>
          <w:tcPr>
            <w:tcW w:w="7680" w:type="dxa"/>
            <w:vAlign w:val="bottom"/>
          </w:tcPr>
          <w:p>
            <w:pPr>
              <w:ind w:left="200"/>
              <w:spacing w:after="0"/>
              <w:rPr>
                <w:sz w:val="20"/>
                <w:szCs w:val="20"/>
                <w:color w:val="auto"/>
              </w:rPr>
            </w:pPr>
            <w:r>
              <w:rPr>
                <w:rFonts w:ascii="Arial" w:cs="Arial" w:eastAsia="Arial" w:hAnsi="Arial"/>
                <w:sz w:val="12"/>
                <w:szCs w:val="12"/>
                <w:color w:val="auto"/>
              </w:rPr>
              <w:t>Warranty reserve, current portion</w:t>
            </w:r>
          </w:p>
        </w:tc>
        <w:tc>
          <w:tcPr>
            <w:tcW w:w="2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2,627</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2,804</w:t>
            </w:r>
          </w:p>
        </w:tc>
        <w:tc>
          <w:tcPr>
            <w:tcW w:w="100" w:type="dxa"/>
            <w:vAlign w:val="bottom"/>
          </w:tcPr>
          <w:p>
            <w:pPr>
              <w:spacing w:after="0"/>
              <w:rPr>
                <w:sz w:val="12"/>
                <w:szCs w:val="12"/>
                <w:color w:val="auto"/>
              </w:rPr>
            </w:pPr>
          </w:p>
        </w:tc>
      </w:tr>
      <w:tr>
        <w:trPr>
          <w:trHeight w:val="152"/>
        </w:trPr>
        <w:tc>
          <w:tcPr>
            <w:tcW w:w="7680" w:type="dxa"/>
            <w:vAlign w:val="bottom"/>
            <w:shd w:val="clear" w:color="auto" w:fill="CFF0FC"/>
          </w:tcPr>
          <w:p>
            <w:pPr>
              <w:ind w:left="200"/>
              <w:spacing w:after="0"/>
              <w:rPr>
                <w:sz w:val="20"/>
                <w:szCs w:val="20"/>
                <w:color w:val="auto"/>
              </w:rPr>
            </w:pPr>
            <w:r>
              <w:rPr>
                <w:rFonts w:ascii="Arial" w:cs="Arial" w:eastAsia="Arial" w:hAnsi="Arial"/>
                <w:sz w:val="12"/>
                <w:szCs w:val="12"/>
                <w:color w:val="auto"/>
              </w:rPr>
              <w:t>Operating lease liabilities</w:t>
            </w: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50,559</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49,988</w:t>
            </w:r>
          </w:p>
        </w:tc>
        <w:tc>
          <w:tcPr>
            <w:tcW w:w="100" w:type="dxa"/>
            <w:vAlign w:val="bottom"/>
            <w:shd w:val="clear" w:color="auto" w:fill="CFF0FC"/>
          </w:tcPr>
          <w:p>
            <w:pPr>
              <w:spacing w:after="0"/>
              <w:rPr>
                <w:sz w:val="13"/>
                <w:szCs w:val="13"/>
                <w:color w:val="auto"/>
              </w:rPr>
            </w:pPr>
          </w:p>
        </w:tc>
      </w:tr>
      <w:tr>
        <w:trPr>
          <w:trHeight w:val="145"/>
        </w:trPr>
        <w:tc>
          <w:tcPr>
            <w:tcW w:w="7680" w:type="dxa"/>
            <w:vAlign w:val="bottom"/>
          </w:tcPr>
          <w:p>
            <w:pPr>
              <w:ind w:left="200"/>
              <w:spacing w:after="0"/>
              <w:rPr>
                <w:sz w:val="20"/>
                <w:szCs w:val="20"/>
                <w:color w:val="auto"/>
              </w:rPr>
            </w:pPr>
            <w:r>
              <w:rPr>
                <w:rFonts w:ascii="Arial" w:cs="Arial" w:eastAsia="Arial" w:hAnsi="Arial"/>
                <w:sz w:val="12"/>
                <w:szCs w:val="12"/>
                <w:color w:val="auto"/>
              </w:rPr>
              <w:t>Other</w:t>
            </w:r>
          </w:p>
        </w:tc>
        <w:tc>
          <w:tcPr>
            <w:tcW w:w="2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148,599</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141,596</w:t>
            </w:r>
          </w:p>
        </w:tc>
        <w:tc>
          <w:tcPr>
            <w:tcW w:w="100" w:type="dxa"/>
            <w:vAlign w:val="bottom"/>
          </w:tcPr>
          <w:p>
            <w:pPr>
              <w:spacing w:after="0"/>
              <w:rPr>
                <w:sz w:val="12"/>
                <w:szCs w:val="12"/>
                <w:color w:val="auto"/>
              </w:rPr>
            </w:pPr>
          </w:p>
        </w:tc>
      </w:tr>
      <w:tr>
        <w:trPr>
          <w:trHeight w:val="182"/>
        </w:trPr>
        <w:tc>
          <w:tcPr>
            <w:tcW w:w="76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452,644</w:t>
            </w:r>
          </w:p>
        </w:tc>
        <w:tc>
          <w:tcPr>
            <w:tcW w:w="2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482,564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7680" w:type="dxa"/>
            <w:vAlign w:val="bottom"/>
          </w:tcPr>
          <w:p>
            <w:pPr>
              <w:ind w:left="20"/>
              <w:spacing w:after="0" w:line="129" w:lineRule="exact"/>
              <w:rPr>
                <w:sz w:val="20"/>
                <w:szCs w:val="20"/>
                <w:color w:val="auto"/>
              </w:rPr>
            </w:pPr>
            <w:r>
              <w:rPr>
                <w:rFonts w:ascii="Arial" w:cs="Arial" w:eastAsia="Arial" w:hAnsi="Arial"/>
                <w:sz w:val="12"/>
                <w:szCs w:val="12"/>
                <w:color w:val="auto"/>
              </w:rPr>
              <w:t>Other liabilities:</w:t>
            </w: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2"/>
        </w:trPr>
        <w:tc>
          <w:tcPr>
            <w:tcW w:w="7680" w:type="dxa"/>
            <w:vAlign w:val="bottom"/>
            <w:shd w:val="clear" w:color="auto" w:fill="CFF0FC"/>
          </w:tcPr>
          <w:p>
            <w:pPr>
              <w:ind w:left="200"/>
              <w:spacing w:after="0"/>
              <w:rPr>
                <w:sz w:val="20"/>
                <w:szCs w:val="20"/>
                <w:color w:val="auto"/>
              </w:rPr>
            </w:pPr>
            <w:r>
              <w:rPr>
                <w:rFonts w:ascii="Arial" w:cs="Arial" w:eastAsia="Arial" w:hAnsi="Arial"/>
                <w:sz w:val="12"/>
                <w:szCs w:val="12"/>
                <w:color w:val="auto"/>
              </w:rPr>
              <w:t>Deferred revenues, long-term portion</w:t>
            </w:r>
          </w:p>
        </w:tc>
        <w:tc>
          <w:tcPr>
            <w:tcW w:w="200" w:type="dxa"/>
            <w:vAlign w:val="bottom"/>
            <w:shd w:val="clear" w:color="auto" w:fill="CFF0FC"/>
          </w:tcPr>
          <w:p>
            <w:pPr>
              <w:jc w:val="right"/>
              <w:ind w:right="62"/>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82,103</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88,983</w:t>
            </w:r>
          </w:p>
        </w:tc>
        <w:tc>
          <w:tcPr>
            <w:tcW w:w="100" w:type="dxa"/>
            <w:vAlign w:val="bottom"/>
            <w:shd w:val="clear" w:color="auto" w:fill="CFF0FC"/>
          </w:tcPr>
          <w:p>
            <w:pPr>
              <w:spacing w:after="0"/>
              <w:rPr>
                <w:sz w:val="13"/>
                <w:szCs w:val="13"/>
                <w:color w:val="auto"/>
              </w:rPr>
            </w:pPr>
          </w:p>
        </w:tc>
      </w:tr>
      <w:tr>
        <w:trPr>
          <w:trHeight w:val="145"/>
        </w:trPr>
        <w:tc>
          <w:tcPr>
            <w:tcW w:w="7680" w:type="dxa"/>
            <w:vAlign w:val="bottom"/>
          </w:tcPr>
          <w:p>
            <w:pPr>
              <w:ind w:left="200"/>
              <w:spacing w:after="0"/>
              <w:rPr>
                <w:sz w:val="20"/>
                <w:szCs w:val="20"/>
                <w:color w:val="auto"/>
              </w:rPr>
            </w:pPr>
            <w:r>
              <w:rPr>
                <w:rFonts w:ascii="Arial" w:cs="Arial" w:eastAsia="Arial" w:hAnsi="Arial"/>
                <w:sz w:val="12"/>
                <w:szCs w:val="12"/>
                <w:color w:val="auto"/>
              </w:rPr>
              <w:t>Warranty reserve, long-term portion</w:t>
            </w:r>
          </w:p>
        </w:tc>
        <w:tc>
          <w:tcPr>
            <w:tcW w:w="2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2,366</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2,548</w:t>
            </w:r>
          </w:p>
        </w:tc>
        <w:tc>
          <w:tcPr>
            <w:tcW w:w="100" w:type="dxa"/>
            <w:vAlign w:val="bottom"/>
          </w:tcPr>
          <w:p>
            <w:pPr>
              <w:spacing w:after="0"/>
              <w:rPr>
                <w:sz w:val="12"/>
                <w:szCs w:val="12"/>
                <w:color w:val="auto"/>
              </w:rPr>
            </w:pPr>
          </w:p>
        </w:tc>
      </w:tr>
      <w:tr>
        <w:trPr>
          <w:trHeight w:val="152"/>
        </w:trPr>
        <w:tc>
          <w:tcPr>
            <w:tcW w:w="7680" w:type="dxa"/>
            <w:vAlign w:val="bottom"/>
            <w:shd w:val="clear" w:color="auto" w:fill="CFF0FC"/>
          </w:tcPr>
          <w:p>
            <w:pPr>
              <w:ind w:left="200"/>
              <w:spacing w:after="0"/>
              <w:rPr>
                <w:sz w:val="20"/>
                <w:szCs w:val="20"/>
                <w:color w:val="auto"/>
              </w:rPr>
            </w:pPr>
            <w:r>
              <w:rPr>
                <w:rFonts w:ascii="Arial" w:cs="Arial" w:eastAsia="Arial" w:hAnsi="Arial"/>
                <w:sz w:val="12"/>
                <w:szCs w:val="12"/>
                <w:color w:val="auto"/>
              </w:rPr>
              <w:t>Satellite performance incentive obligations, long-term portion</w:t>
            </w: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16,713</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18,651</w:t>
            </w:r>
          </w:p>
        </w:tc>
        <w:tc>
          <w:tcPr>
            <w:tcW w:w="100" w:type="dxa"/>
            <w:vAlign w:val="bottom"/>
            <w:shd w:val="clear" w:color="auto" w:fill="CFF0FC"/>
          </w:tcPr>
          <w:p>
            <w:pPr>
              <w:spacing w:after="0"/>
              <w:rPr>
                <w:sz w:val="13"/>
                <w:szCs w:val="13"/>
                <w:color w:val="auto"/>
              </w:rPr>
            </w:pPr>
          </w:p>
        </w:tc>
      </w:tr>
      <w:tr>
        <w:trPr>
          <w:trHeight w:val="145"/>
        </w:trPr>
        <w:tc>
          <w:tcPr>
            <w:tcW w:w="7680" w:type="dxa"/>
            <w:vAlign w:val="bottom"/>
          </w:tcPr>
          <w:p>
            <w:pPr>
              <w:ind w:left="200"/>
              <w:spacing w:after="0"/>
              <w:rPr>
                <w:sz w:val="20"/>
                <w:szCs w:val="20"/>
                <w:color w:val="auto"/>
              </w:rPr>
            </w:pPr>
            <w:r>
              <w:rPr>
                <w:rFonts w:ascii="Arial" w:cs="Arial" w:eastAsia="Arial" w:hAnsi="Arial"/>
                <w:sz w:val="12"/>
                <w:szCs w:val="12"/>
                <w:color w:val="auto"/>
              </w:rPr>
              <w:t>Deferred income taxes</w:t>
            </w:r>
          </w:p>
        </w:tc>
        <w:tc>
          <w:tcPr>
            <w:tcW w:w="20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13,909</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16,869</w:t>
            </w:r>
          </w:p>
        </w:tc>
        <w:tc>
          <w:tcPr>
            <w:tcW w:w="100" w:type="dxa"/>
            <w:vAlign w:val="bottom"/>
          </w:tcPr>
          <w:p>
            <w:pPr>
              <w:spacing w:after="0"/>
              <w:rPr>
                <w:sz w:val="12"/>
                <w:szCs w:val="12"/>
                <w:color w:val="auto"/>
              </w:rPr>
            </w:pPr>
          </w:p>
        </w:tc>
      </w:tr>
      <w:tr>
        <w:trPr>
          <w:trHeight w:val="148"/>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Other</w:t>
            </w:r>
          </w:p>
        </w:tc>
        <w:tc>
          <w:tcPr>
            <w:tcW w:w="20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26,651</w:t>
            </w:r>
          </w:p>
        </w:tc>
        <w:tc>
          <w:tcPr>
            <w:tcW w:w="28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26,105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680" w:type="dxa"/>
            <w:vAlign w:val="bottom"/>
          </w:tcPr>
          <w:p>
            <w:pPr>
              <w:spacing w:after="0"/>
              <w:rPr>
                <w:sz w:val="12"/>
                <w:szCs w:val="12"/>
                <w:color w:val="auto"/>
              </w:rPr>
            </w:pPr>
          </w:p>
        </w:tc>
        <w:tc>
          <w:tcPr>
            <w:tcW w:w="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141,742</w:t>
            </w:r>
          </w:p>
        </w:tc>
        <w:tc>
          <w:tcPr>
            <w:tcW w:w="280" w:type="dxa"/>
            <w:vAlign w:val="bottom"/>
          </w:tcPr>
          <w:p>
            <w:pPr>
              <w:spacing w:after="0"/>
              <w:rPr>
                <w:sz w:val="12"/>
                <w:szCs w:val="12"/>
                <w:color w:val="auto"/>
              </w:rPr>
            </w:pPr>
          </w:p>
        </w:tc>
        <w:tc>
          <w:tcPr>
            <w:tcW w:w="3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153,156</w:t>
            </w:r>
          </w:p>
        </w:tc>
        <w:tc>
          <w:tcPr>
            <w:tcW w:w="100" w:type="dxa"/>
            <w:vAlign w:val="bottom"/>
          </w:tcPr>
          <w:p>
            <w:pPr>
              <w:spacing w:after="0"/>
              <w:rPr>
                <w:sz w:val="12"/>
                <w:szCs w:val="12"/>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-5280025</wp:posOffset>
            </wp:positionV>
            <wp:extent cx="1243330" cy="1200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43330" cy="1200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-4876800</wp:posOffset>
            </wp:positionV>
            <wp:extent cx="68580"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-4876800</wp:posOffset>
            </wp:positionV>
            <wp:extent cx="68580"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-4465320</wp:posOffset>
            </wp:positionV>
            <wp:extent cx="68580"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-4465320</wp:posOffset>
            </wp:positionV>
            <wp:extent cx="68580"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-3299460</wp:posOffset>
            </wp:positionV>
            <wp:extent cx="68580" cy="1028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-3299460</wp:posOffset>
            </wp:positionV>
            <wp:extent cx="68580" cy="1028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-3102610</wp:posOffset>
            </wp:positionV>
            <wp:extent cx="68580"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-2108200</wp:posOffset>
            </wp:positionV>
            <wp:extent cx="1243330" cy="1200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43330" cy="1200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-1508125</wp:posOffset>
            </wp:positionV>
            <wp:extent cx="1243330" cy="1200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43330" cy="1200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-719455</wp:posOffset>
            </wp:positionV>
            <wp:extent cx="1243330" cy="1200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43330" cy="1200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-128270</wp:posOffset>
            </wp:positionV>
            <wp:extent cx="68580"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2890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93" w:lineRule="exact"/>
        <w:rPr>
          <w:sz w:val="20"/>
          <w:szCs w:val="20"/>
          <w:color w:val="auto"/>
        </w:rPr>
      </w:pPr>
    </w:p>
    <w:p>
      <w:pPr>
        <w:ind w:left="920" w:hanging="403"/>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03" w:lineRule="exact"/>
        <w:rPr>
          <w:rFonts w:ascii="Arial" w:cs="Arial" w:eastAsia="Arial" w:hAnsi="Arial"/>
          <w:sz w:val="18"/>
          <w:szCs w:val="18"/>
          <w:color w:val="auto"/>
        </w:rPr>
      </w:pPr>
    </w:p>
    <w:p>
      <w:pPr>
        <w:ind w:left="1120" w:right="160" w:hanging="603"/>
        <w:spacing w:after="0" w:line="248" w:lineRule="auto"/>
        <w:tabs>
          <w:tab w:leader="none" w:pos="921"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87" w:lineRule="exact"/>
        <w:rPr>
          <w:rFonts w:ascii="Arial" w:cs="Arial" w:eastAsia="Arial" w:hAnsi="Arial"/>
          <w:sz w:val="18"/>
          <w:szCs w:val="18"/>
          <w:color w:val="auto"/>
        </w:rPr>
      </w:pPr>
    </w:p>
    <w:p>
      <w:pPr>
        <w:ind w:left="1120" w:right="160" w:hanging="603"/>
        <w:spacing w:after="0" w:line="261" w:lineRule="auto"/>
        <w:tabs>
          <w:tab w:leader="none" w:pos="921"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30" w:lineRule="exact"/>
        <w:rPr>
          <w:sz w:val="20"/>
          <w:szCs w:val="20"/>
          <w:color w:val="auto"/>
        </w:rPr>
      </w:pPr>
    </w:p>
    <w:p>
      <w:pPr>
        <w:ind w:right="320" w:firstLine="509"/>
        <w:spacing w:after="0" w:line="246" w:lineRule="auto"/>
        <w:rPr>
          <w:sz w:val="20"/>
          <w:szCs w:val="20"/>
          <w:color w:val="auto"/>
        </w:rPr>
      </w:pPr>
      <w:r>
        <w:rPr>
          <w:rFonts w:ascii="Arial" w:cs="Arial" w:eastAsia="Arial" w:hAnsi="Arial"/>
          <w:sz w:val="18"/>
          <w:szCs w:val="18"/>
          <w:color w:val="auto"/>
        </w:rPr>
        <w:t>The Company had $5.1 million and $5.0 million in cash equivalents (Level 1) and no liabilities measured at fair value on a recurring basis as of September 30, 2022 and March 31, 2022, respectively.</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40" w:lineRule="exact"/>
        <w:rPr>
          <w:sz w:val="20"/>
          <w:szCs w:val="20"/>
          <w:color w:val="auto"/>
        </w:rPr>
      </w:pPr>
    </w:p>
    <w:p>
      <w:pPr>
        <w:ind w:right="220" w:firstLine="509"/>
        <w:spacing w:after="0" w:line="26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assets in an active market with sufficient volume and frequency of transactions (Level 1).</w:t>
      </w:r>
    </w:p>
    <w:p>
      <w:pPr>
        <w:spacing w:after="0" w:line="120"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In connection with the acquisition of the remaining 51% interest in EBI on April 30, 2021 (see Note 5 —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for more information), part of the purchase price consideration will not be determined until two years after the closing date, when the Company may pay or receive up to €20.0 million, or approximately $19.3 million, in cash. The consideration to be paid in the future is contingent based on certain outcomes as defined in the acquisition agreement. Each reporting period, the Company estimates the fair value of the contingent consideration based on unobservable inputs and probability weightings using standard valuation techniques (Level 3). The fair value amount is currently recorded in other current assets on the condensed consolidated balance sheets and any change to fair value is recorded in the Company’s condensed consolidated statements of operations each reporting period. As of September 30, 2022 and March 31, 2022, and for the three-month and six-month periods ended September 30, 2022 and 2021, the Company’s fair value estimate, and change in fair value of the contingent consideration were immaterial.</w:t>
      </w:r>
    </w:p>
    <w:p>
      <w:pPr>
        <w:spacing w:after="0" w:line="133"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Company’s long-term debt consists of borrowings under its Term Loan Facility, Revolving Credit Facility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Ex-Im Credit Facility (collectively, the Credit Facilities), $700.0 million in aggregate principal amount of 2025 Notes, $600.0 million in aggregate principal amount of 2027 Notes, $400.0 million in aggregate principal amount of 2028 Notes and finance lease obligations reported at the present value of future minimum lease payments with current accrued interest. Long-term debt related to the Revolving Credit Facility is reported at the outstanding principal amount of borrowings, while long-term debt related to the Term Loan Facility, the Ex-Im Credit Facility, the 2025 Notes, the 2027 Notes and the 2028 Notes is reported at amortized cost. However, for disclosure purposes, the Company is required to measure the fair value of outstanding debt on a recurring basis. The fair value of the Company’s long-term debt related to the Term Loan Facility and the Revolving Credit Facility approximates its carrying amount due to its variable interest rate, which approximates a market interest rate. As of September 30, 2022 and March 31, 2022, the fair value of the Company’s long-term debt related to the Ex-Im Credit Facility was determined based on a discounted cash flow analysis using observable market interest rates for instruments with similar terms (Level 2) and was approximately $67.1 million and $78.0 million, respectively. As of September 30, 2022 and March 31, 2022, the estimated fair value of the Company’s outstanding long-term debt related to each series of Notes was determined based on actual or estimated bids and offers for such series of Notes in an over-the-counter market (Level 2) and was $542.2 million and $682.5 million, respectively, for the 2025 Notes, $498.4 million and $588.8 million, respectively, for the 2027 Notes, and $264.0 million and $382.7 million, respectively, for the 2028 Notes.</w:t>
      </w:r>
    </w:p>
    <w:p>
      <w:pPr>
        <w:spacing w:after="0" w:line="136" w:lineRule="exact"/>
        <w:rPr>
          <w:sz w:val="20"/>
          <w:szCs w:val="20"/>
          <w:color w:val="auto"/>
        </w:rPr>
      </w:pPr>
    </w:p>
    <w:p>
      <w:pPr>
        <w:jc w:val="both"/>
        <w:ind w:right="320" w:firstLine="509"/>
        <w:spacing w:after="0" w:line="258" w:lineRule="auto"/>
        <w:rPr>
          <w:sz w:val="20"/>
          <w:szCs w:val="20"/>
          <w:color w:val="auto"/>
        </w:rPr>
      </w:pPr>
      <w:r>
        <w:rPr>
          <w:rFonts w:ascii="Arial" w:cs="Arial" w:eastAsia="Arial" w:hAnsi="Arial"/>
          <w:sz w:val="18"/>
          <w:szCs w:val="18"/>
          <w:i w:val="1"/>
          <w:iCs w:val="1"/>
          <w:color w:val="auto"/>
        </w:rPr>
        <w:t xml:space="preserve">Satellite performance incentive obligations </w:t>
      </w:r>
      <w:r>
        <w:rPr>
          <w:rFonts w:ascii="Arial" w:cs="Arial" w:eastAsia="Arial" w:hAnsi="Arial"/>
          <w:sz w:val="18"/>
          <w:szCs w:val="18"/>
          <w:color w:val="auto"/>
        </w:rPr>
        <w:t>— The Company’s contracts with satellite manufacturers require the Company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monthly in-orbit satellite performance incentive payments with respect to certain satellites in service, including interest, through fiscal year 2028, subject to the continued satisfactory performance of the applicable satellites.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September 30, 2022 and March 31, 2022, the Company’s estimated satellite performance incentive obligations relating to certain satellites in service, including accrued interest, were $22.2 million and $23.7 million,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Discontinued Operations</w:t>
      </w:r>
    </w:p>
    <w:p>
      <w:pPr>
        <w:spacing w:after="0" w:line="85"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On October 1, 2022, the Company entered into an Asset Purchase Agreement to sell certain assets and assign certain liabilities comprising the Link-16 TDL Business (part of the Company's government systems segment) to L3Harris Technologies, Inc. in exchange for approximately $1.96 billion in cash (subject to certain adjustments), on and subject to the terms and conditions set forth therein. In accordance with ASC 205-20, the Company determined that the Link-16 TDL Business met held-for sale and discontinued operations accounting criteria at the end of the second quarter of fiscal year 2023. Accordingly, the Company classified the results of the Link-16 TDL Business as discontinued operations in its condensed consolidated statements of operations for all periods presented. Additionally, the related assets and liabilities associated with the Link-16 TDL Business are classified as held for sale and discontinued operations in the condensed consolidated balance sheets for all periods presented.</w:t>
      </w:r>
    </w:p>
    <w:p>
      <w:pPr>
        <w:spacing w:after="0" w:line="146"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The Company expects the Link-16 TDL Sale to substantially reduce both debt and net leverage, and to allow closer alignment in investment synergies between the Company's government systems segment and its other business segments. The Link-16 TDL Sale is expected to close in the first half of calendar year 2023 and is subject to the satisfaction or waiver of customary closing conditions, including the expiration or termination of any required waiting periods under the Hart-Scott-Rodino Antitrust Improvements Act of 1976.</w:t>
      </w:r>
    </w:p>
    <w:p>
      <w:pPr>
        <w:spacing w:after="0" w:line="14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In connection with the closing of the Link-16 TDL Sale, the Company and L3Harris Technologies, Inc. will enter into certain ancillary commercial agreements, including an intellectual property license agreement for the cross-licensing by each party of certain intellectual property rights relating to the Link-16 TDL Business and the Company’s retained businesses, certain supply agreements with respect to the supply of certain Link-16 and related products following the closing, and a transition services agreement for the provision of certain services to support the transition of the Link-16 TDL Business following the closing, in each case subject to the terms and conditions set forth therein.</w:t>
      </w:r>
    </w:p>
    <w:p>
      <w:pPr>
        <w:spacing w:after="0" w:line="147"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The following table presents key components of assets and liabilities that are classified as discontinued operations on the condensed consolidated balance sheets as of September 30, 2022 and March 31,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jc w:val="right"/>
              <w:ind w:right="633"/>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jc w:val="right"/>
              <w:ind w:right="632"/>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r>
      <w:tr>
        <w:trPr>
          <w:trHeight w:val="189"/>
        </w:trPr>
        <w:tc>
          <w:tcPr>
            <w:tcW w:w="7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September 30, 2022</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r>
      <w:tr>
        <w:trPr>
          <w:trHeight w:val="169"/>
        </w:trPr>
        <w:tc>
          <w:tcPr>
            <w:tcW w:w="7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jc w:val="right"/>
              <w:ind w:right="93"/>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thousands)</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60,748</w:t>
            </w:r>
          </w:p>
        </w:tc>
        <w:tc>
          <w:tcPr>
            <w:tcW w:w="6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47,097</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137,304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144,026</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6,468</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80"/>
              <w:spacing w:after="0"/>
              <w:rPr>
                <w:sz w:val="20"/>
                <w:szCs w:val="20"/>
                <w:color w:val="auto"/>
              </w:rPr>
            </w:pPr>
            <w:r>
              <w:rPr>
                <w:rFonts w:ascii="Arial" w:cs="Arial" w:eastAsia="Arial" w:hAnsi="Arial"/>
                <w:sz w:val="18"/>
                <w:szCs w:val="18"/>
                <w:color w:val="auto"/>
              </w:rPr>
              <w:t>Property, equipment, and satellites, net</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37,878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36,921</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11,835</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12,837</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20,993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21,403</w:t>
            </w:r>
          </w:p>
        </w:tc>
        <w:tc>
          <w:tcPr>
            <w:tcW w:w="100" w:type="dxa"/>
            <w:vAlign w:val="bottom"/>
          </w:tcPr>
          <w:p>
            <w:pPr>
              <w:spacing w:after="0"/>
              <w:rPr>
                <w:sz w:val="18"/>
                <w:szCs w:val="18"/>
                <w:color w:val="auto"/>
              </w:rPr>
            </w:pPr>
          </w:p>
        </w:tc>
      </w:tr>
      <w:tr>
        <w:trPr>
          <w:trHeight w:val="216"/>
        </w:trPr>
        <w:tc>
          <w:tcPr>
            <w:tcW w:w="72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9,383</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60" w:type="dxa"/>
            <w:vAlign w:val="bottom"/>
          </w:tcPr>
          <w:p>
            <w:pPr>
              <w:ind w:left="280"/>
              <w:spacing w:after="0"/>
              <w:rPr>
                <w:sz w:val="20"/>
                <w:szCs w:val="20"/>
                <w:color w:val="auto"/>
              </w:rPr>
            </w:pPr>
            <w:r>
              <w:rPr>
                <w:rFonts w:ascii="Arial" w:cs="Arial" w:eastAsia="Arial" w:hAnsi="Arial"/>
                <w:sz w:val="18"/>
                <w:szCs w:val="18"/>
                <w:color w:val="auto"/>
              </w:rPr>
              <w:t>Total assets of discontinued operations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285,249</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275,102</w:t>
            </w:r>
          </w:p>
        </w:tc>
        <w:tc>
          <w:tcPr>
            <w:tcW w:w="100" w:type="dxa"/>
            <w:vAlign w:val="bottom"/>
          </w:tcPr>
          <w:p>
            <w:pPr>
              <w:spacing w:after="0"/>
              <w:rPr>
                <w:sz w:val="18"/>
                <w:szCs w:val="18"/>
                <w:color w:val="auto"/>
              </w:rPr>
            </w:pPr>
          </w:p>
        </w:tc>
      </w:tr>
      <w:tr>
        <w:trPr>
          <w:trHeight w:val="20"/>
        </w:trPr>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26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18,534</w:t>
            </w:r>
          </w:p>
        </w:tc>
        <w:tc>
          <w:tcPr>
            <w:tcW w:w="6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18,415</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and other liabilities</w:t>
            </w: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33,137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33,858</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80"/>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10,336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11,486</w:t>
            </w:r>
          </w:p>
        </w:tc>
        <w:tc>
          <w:tcPr>
            <w:tcW w:w="100" w:type="dxa"/>
            <w:vAlign w:val="bottom"/>
          </w:tcPr>
          <w:p>
            <w:pPr>
              <w:spacing w:after="0"/>
              <w:rPr>
                <w:sz w:val="18"/>
                <w:szCs w:val="18"/>
                <w:color w:val="auto"/>
              </w:rPr>
            </w:pPr>
          </w:p>
        </w:tc>
      </w:tr>
      <w:tr>
        <w:trPr>
          <w:trHeight w:val="216"/>
        </w:trPr>
        <w:tc>
          <w:tcPr>
            <w:tcW w:w="72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5,477</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60" w:type="dxa"/>
            <w:vAlign w:val="bottom"/>
          </w:tcPr>
          <w:p>
            <w:pPr>
              <w:ind w:left="280"/>
              <w:spacing w:after="0"/>
              <w:rPr>
                <w:sz w:val="20"/>
                <w:szCs w:val="20"/>
                <w:color w:val="auto"/>
              </w:rPr>
            </w:pPr>
            <w:r>
              <w:rPr>
                <w:rFonts w:ascii="Arial" w:cs="Arial" w:eastAsia="Arial" w:hAnsi="Arial"/>
                <w:sz w:val="18"/>
                <w:szCs w:val="18"/>
                <w:color w:val="auto"/>
              </w:rPr>
              <w:t>Total liabilities of discontinued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67,484</w:t>
            </w:r>
          </w:p>
        </w:tc>
        <w:tc>
          <w:tcPr>
            <w:tcW w:w="6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68,054</w:t>
            </w:r>
          </w:p>
        </w:tc>
        <w:tc>
          <w:tcPr>
            <w:tcW w:w="100" w:type="dxa"/>
            <w:vAlign w:val="bottom"/>
          </w:tcPr>
          <w:p>
            <w:pPr>
              <w:spacing w:after="0"/>
              <w:rPr>
                <w:sz w:val="18"/>
                <w:szCs w:val="18"/>
                <w:color w:val="auto"/>
              </w:rPr>
            </w:pPr>
          </w:p>
        </w:tc>
      </w:tr>
      <w:tr>
        <w:trPr>
          <w:trHeight w:val="20"/>
        </w:trPr>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-1028065</wp:posOffset>
            </wp:positionV>
            <wp:extent cx="6858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6858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1" w:lineRule="exact"/>
        <w:rPr>
          <w:sz w:val="20"/>
          <w:szCs w:val="20"/>
          <w:color w:val="auto"/>
        </w:rPr>
      </w:pPr>
    </w:p>
    <w:p>
      <w:pPr>
        <w:jc w:val="both"/>
        <w:ind w:right="340" w:firstLine="509"/>
        <w:spacing w:after="0"/>
        <w:rPr>
          <w:sz w:val="20"/>
          <w:szCs w:val="20"/>
          <w:color w:val="auto"/>
        </w:rPr>
      </w:pPr>
      <w:r>
        <w:rPr>
          <w:rFonts w:ascii="Arial" w:cs="Arial" w:eastAsia="Arial" w:hAnsi="Arial"/>
          <w:sz w:val="18"/>
          <w:szCs w:val="18"/>
          <w:color w:val="auto"/>
        </w:rPr>
        <w:t>The operating results of the discontinued operations only reflect revenues and expenses that are directly attributable to the Link-16 TDL Business that will be eliminated from continuing operations. The following table presents key components of “Net income (loss) from discontinued operations, net of tax” for the three and six months ended September 30, 2022 and 2021: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6"/>
                <w:szCs w:val="16"/>
                <w:color w:val="auto"/>
              </w:rPr>
            </w:pPr>
          </w:p>
        </w:tc>
        <w:tc>
          <w:tcPr>
            <w:tcW w:w="23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129"/>
        </w:trPr>
        <w:tc>
          <w:tcPr>
            <w:tcW w:w="5460" w:type="dxa"/>
            <w:vAlign w:val="bottom"/>
          </w:tcPr>
          <w:p>
            <w:pPr>
              <w:spacing w:after="0"/>
              <w:rPr>
                <w:sz w:val="11"/>
                <w:szCs w:val="11"/>
                <w:color w:val="auto"/>
              </w:rPr>
            </w:pPr>
          </w:p>
        </w:tc>
        <w:tc>
          <w:tcPr>
            <w:tcW w:w="1480" w:type="dxa"/>
            <w:vAlign w:val="bottom"/>
            <w:tcBorders>
              <w:top w:val="single" w:sz="8" w:color="auto"/>
            </w:tcBorders>
            <w:gridSpan w:val="3"/>
          </w:tcPr>
          <w:p>
            <w:pPr>
              <w:jc w:val="right"/>
              <w:ind w:right="400"/>
              <w:spacing w:after="0" w:line="12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1"/>
                <w:szCs w:val="11"/>
                <w:color w:val="auto"/>
              </w:rPr>
            </w:pPr>
          </w:p>
        </w:tc>
        <w:tc>
          <w:tcPr>
            <w:tcW w:w="1420" w:type="dxa"/>
            <w:vAlign w:val="bottom"/>
            <w:tcBorders>
              <w:top w:val="single" w:sz="8" w:color="auto"/>
            </w:tcBorders>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rPr>
              <w:t>September 30,</w:t>
            </w:r>
          </w:p>
        </w:tc>
        <w:tc>
          <w:tcPr>
            <w:tcW w:w="1240" w:type="dxa"/>
            <w:vAlign w:val="bottom"/>
            <w:tcBorders>
              <w:top w:val="single" w:sz="8" w:color="auto"/>
            </w:tcBorders>
            <w:gridSpan w:val="2"/>
          </w:tcPr>
          <w:p>
            <w:pPr>
              <w:jc w:val="right"/>
              <w:ind w:right="73"/>
              <w:spacing w:after="0" w:line="12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1"/>
                <w:szCs w:val="11"/>
                <w:color w:val="auto"/>
              </w:rPr>
            </w:pPr>
          </w:p>
        </w:tc>
      </w:tr>
      <w:tr>
        <w:trPr>
          <w:trHeight w:val="189"/>
        </w:trPr>
        <w:tc>
          <w:tcPr>
            <w:tcW w:w="5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88,128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92,197</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194,917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186,277</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Cost of revenues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54,090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54,603</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120,448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113,737</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8,198</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9,267</w:t>
            </w:r>
          </w:p>
        </w:tc>
        <w:tc>
          <w:tcPr>
            <w:tcW w:w="100" w:type="dxa"/>
            <w:vAlign w:val="bottom"/>
          </w:tcPr>
          <w:p>
            <w:pPr>
              <w:spacing w:after="0"/>
              <w:rPr>
                <w:sz w:val="18"/>
                <w:szCs w:val="18"/>
                <w:color w:val="auto"/>
              </w:rPr>
            </w:pPr>
          </w:p>
        </w:tc>
      </w:tr>
      <w:tr>
        <w:trPr>
          <w:trHeight w:val="182"/>
        </w:trPr>
        <w:tc>
          <w:tcPr>
            <w:tcW w:w="546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Net income (loss) from discontinued operations before income</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7"/>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taxes</w:t>
            </w:r>
          </w:p>
        </w:tc>
        <w:tc>
          <w:tcPr>
            <w:tcW w:w="2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32,716</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57,285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63,273</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(679 )</w:t>
            </w:r>
          </w:p>
        </w:tc>
        <w:tc>
          <w:tcPr>
            <w:tcW w:w="1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(6,236 )</w:t>
            </w:r>
          </w:p>
        </w:tc>
        <w:tc>
          <w:tcPr>
            <w:tcW w:w="3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(13,493 )</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(12,529 )</w:t>
            </w:r>
          </w:p>
        </w:tc>
      </w:tr>
      <w:tr>
        <w:trPr>
          <w:trHeight w:val="250"/>
        </w:trPr>
        <w:tc>
          <w:tcPr>
            <w:tcW w:w="5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 from discontinued operations, net of tax</w:t>
            </w:r>
          </w:p>
        </w:tc>
        <w:tc>
          <w:tcPr>
            <w:tcW w:w="28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25,161</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26,480</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43,792</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50,744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-24765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The cash flows related to discontinued operations have not been segregated and are included in the condensed consolidated statements of cash flows. The following table presents key cash flow and non-cash information related to discontinued operations for the six months ended September 30, 2022 and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4"/>
          </w:tcPr>
          <w:p>
            <w:pPr>
              <w:jc w:val="right"/>
              <w:ind w:right="1295"/>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r>
      <w:tr>
        <w:trPr>
          <w:trHeight w:val="169"/>
        </w:trPr>
        <w:tc>
          <w:tcPr>
            <w:tcW w:w="7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September 30, 2022</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4"/>
                <w:szCs w:val="14"/>
                <w:color w:val="auto"/>
              </w:rPr>
            </w:pPr>
          </w:p>
        </w:tc>
      </w:tr>
      <w:tr>
        <w:trPr>
          <w:trHeight w:val="210"/>
        </w:trPr>
        <w:tc>
          <w:tcPr>
            <w:tcW w:w="7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gridSpan w:val="4"/>
          </w:tcPr>
          <w:p>
            <w:pPr>
              <w:jc w:val="right"/>
              <w:ind w:right="143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5,909</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5,152</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897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6,782</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Acquisitions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Inmarsat Transaction</w:t>
      </w:r>
    </w:p>
    <w:p>
      <w:pPr>
        <w:spacing w:after="0" w:line="9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On November 8, 2021, the Company entered into a Share Purchase Agreement with the Sellers to combine Viasat with Inmarsat. Pursuant to the Share Purchase Agreement, the Company will purchase all of the issued and outstanding shares of Inmarsat from the Sellers upon the terms and subject to the conditions set forth therein. The total consideration payable by the Company under the Share Purchase Agreement consists of $850.0 million in cash, subject to adjustments (including a reduction of $299.3 million as a result of the dividend paid by Inmarsat in April 2022), and approximately 46.36 million unregistered shares of the Company’s common stock.</w:t>
      </w:r>
    </w:p>
    <w:p>
      <w:pPr>
        <w:spacing w:after="0" w:line="149" w:lineRule="exact"/>
        <w:rPr>
          <w:sz w:val="20"/>
          <w:szCs w:val="20"/>
          <w:color w:val="auto"/>
        </w:rPr>
      </w:pPr>
    </w:p>
    <w:p>
      <w:pPr>
        <w:ind w:right="280" w:firstLine="509"/>
        <w:spacing w:after="0" w:line="246" w:lineRule="auto"/>
        <w:rPr>
          <w:sz w:val="20"/>
          <w:szCs w:val="20"/>
          <w:color w:val="auto"/>
        </w:rPr>
      </w:pPr>
      <w:r>
        <w:rPr>
          <w:rFonts w:ascii="Arial" w:cs="Arial" w:eastAsia="Arial" w:hAnsi="Arial"/>
          <w:sz w:val="18"/>
          <w:szCs w:val="18"/>
          <w:color w:val="auto"/>
        </w:rPr>
        <w:t>The Company's stockholders approved the issuance of shares in the transaction and an amendment to the Company’s certificate of incorporation to increase the number of shares of common stock authorized for issuance at a special meeting held on June 21, 2022.</w:t>
      </w:r>
    </w:p>
    <w:p>
      <w:pPr>
        <w:spacing w:after="0" w:line="156"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The closing of the Inmarsat Transaction is subject to customary closing conditions, including receipt of regulatory approvals and clearances. The Share Purchase Agreement contains certain termination rights for both the Company and certain of the Sellers and further provides that, upon termination of the Share Purchase Agreement under certain circumstances, the Company may be obligated to pay a termination fee of up to $200.0 million or to reimburse certain out-of-pocket expenses of certain Sellers up to $40.0 million.</w:t>
      </w:r>
    </w:p>
    <w:p>
      <w:pPr>
        <w:spacing w:after="0" w:line="14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Company has obtained financing commitments for an additional $1.6 billion of new debt facilities in connection with the Inmarsat Transaction (which may be secured and/or unsecured). However, the Company expects that the actual amount of indebtedness incurred under these commitments will be lower in light of the $299.3 million reduction in the cash purchase price payable in the Inmarsat Transaction. The Company also plans to assume $2.1 billion in principal amount of Inmarsat senior secured bonds and the outstanding indebtedness under Inmarsat’s $2.4 billion senior secured 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 Broadband Infrastructure Sàrl</w:t>
      </w:r>
    </w:p>
    <w:p>
      <w:pPr>
        <w:spacing w:after="0" w:line="99" w:lineRule="exact"/>
        <w:rPr>
          <w:sz w:val="20"/>
          <w:szCs w:val="20"/>
          <w:color w:val="auto"/>
        </w:rPr>
      </w:pPr>
    </w:p>
    <w:p>
      <w:pPr>
        <w:ind w:right="720" w:firstLine="509"/>
        <w:spacing w:after="0" w:line="246" w:lineRule="auto"/>
        <w:rPr>
          <w:sz w:val="20"/>
          <w:szCs w:val="20"/>
          <w:color w:val="auto"/>
        </w:rPr>
      </w:pPr>
      <w:r>
        <w:rPr>
          <w:rFonts w:ascii="Arial" w:cs="Arial" w:eastAsia="Arial" w:hAnsi="Arial"/>
          <w:sz w:val="18"/>
          <w:szCs w:val="18"/>
          <w:color w:val="auto"/>
        </w:rPr>
        <w:t>On April 30, 2021, the Company acquired the remaining 51% interest in EBI, a broadband services provider, from Eutelsat. By completing the acquisition, the Company gained 100% ownership and control of EBI and the KA-SAT satellite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over EMEA and related ground infrastructure. Goodwill recognized in the transaction was recorded within the Company's satellite services segment. The goodwill recognized was not deductible for U.S. and foreign income tax purposes.</w:t>
      </w:r>
    </w:p>
    <w:p>
      <w:pPr>
        <w:spacing w:after="0" w:line="14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Prior to the acquisition date, the Company owned a 49% interest in EBI and accounted for the investment using the equity method of accounting. The acquisition of the remaining equity interest in EBI was accounted for as a step acquisition in accordance with ASC 805. Accordingly, the Company allocated the purchase price of the acquired company to the net tangible assets and intangible assets acquired based upon their estimated fair values. The Company remeasured the previously held equity method investment to its fair value based upon a valuation of the acquired business, as of the date of acquisition. The Company considered multiple factors in determining the fair value of the previously held equity method investment, including, (i) the price negotiated with the selling shareholder for the remaining 51% interest in EBI and (ii) an income valuation model (discounted cash flow). As a result of the equity method investment remeasurement, recognition of previously unrecognized foreign currency gain and settlement of insignificant preexisting relationships, the Company recognized an insignificant total net gain included in other income, net, in the condensed consolidated statements of operations and comprehensive income (loss) in the first quarter of fiscal year 2022.</w:t>
      </w:r>
    </w:p>
    <w:p>
      <w:pPr>
        <w:spacing w:after="0" w:line="149"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The purchase price of $327.4 million was primarily comprised of $167.0 million of cash, net of what is currently estimated to be an immaterial amount of estimated purchase price consideration to be settled among the parties over the 24 months (up to plus or minus €20.0 million, or approximately $19.3 million, see Note 3 — Fair Value Measurements for more information) from the closing date (which after consideration of approximately $121.7 million of EBI’s cash on hand, resulted in a net cash outlay of approximately $51.0 million) and the fair value of previously held equity method investment of approximately $160.4 million.</w:t>
      </w:r>
    </w:p>
    <w:p>
      <w:pPr>
        <w:spacing w:after="0" w:line="145"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The purchase price allocation of the acquired assets and assumed liabilities based on the estimated fair values as of April 30, 2021, slightly adjusted since the close of the acquisition, primarily between goodwill, identifiable intangible assets and property, equipment and satellites, is as follows: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7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(In thousands)</w:t>
            </w:r>
          </w:p>
        </w:tc>
      </w:tr>
      <w:tr>
        <w:trPr>
          <w:trHeight w:val="209"/>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46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154,207</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Property, equipment and satellites</w:t>
            </w:r>
          </w:p>
        </w:tc>
        <w:tc>
          <w:tcPr>
            <w:tcW w:w="4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109,028</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Identifiable intangible assets</w:t>
            </w:r>
          </w:p>
        </w:tc>
        <w:tc>
          <w:tcPr>
            <w:tcW w:w="46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26,574</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8"/>
                <w:szCs w:val="18"/>
                <w:color w:val="auto"/>
              </w:rPr>
            </w:pPr>
          </w:p>
        </w:tc>
      </w:tr>
      <w:tr>
        <w:trPr>
          <w:trHeight w:val="210"/>
        </w:trPr>
        <w:tc>
          <w:tcPr>
            <w:tcW w:w="73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 acquired</w:t>
            </w: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290,604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80" w:type="dxa"/>
            <w:vAlign w:val="bottom"/>
          </w:tcPr>
          <w:p>
            <w:pPr>
              <w:ind w:left="260"/>
              <w:spacing w:after="0"/>
              <w:rPr>
                <w:sz w:val="20"/>
                <w:szCs w:val="20"/>
                <w:color w:val="auto"/>
              </w:rPr>
            </w:pPr>
            <w:r>
              <w:rPr>
                <w:rFonts w:ascii="Arial" w:cs="Arial" w:eastAsia="Arial" w:hAnsi="Arial"/>
                <w:sz w:val="18"/>
                <w:szCs w:val="18"/>
                <w:color w:val="auto"/>
              </w:rPr>
              <w:t>Total liabilities assumed</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(5,914 )</w:t>
            </w:r>
          </w:p>
        </w:tc>
      </w:tr>
      <w:tr>
        <w:trPr>
          <w:trHeight w:val="209"/>
        </w:trPr>
        <w:tc>
          <w:tcPr>
            <w:tcW w:w="7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2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80" w:type="dxa"/>
            <w:vAlign w:val="bottom"/>
          </w:tcPr>
          <w:p>
            <w:pPr>
              <w:spacing w:after="0"/>
              <w:rPr>
                <w:sz w:val="20"/>
                <w:szCs w:val="20"/>
                <w:color w:val="auto"/>
              </w:rPr>
            </w:pPr>
            <w:r>
              <w:rPr>
                <w:rFonts w:ascii="Arial" w:cs="Arial" w:eastAsia="Arial" w:hAnsi="Arial"/>
                <w:sz w:val="18"/>
                <w:szCs w:val="18"/>
                <w:color w:val="auto"/>
              </w:rPr>
              <w:t>Total consideration transferred</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327,352</w:t>
            </w:r>
          </w:p>
        </w:tc>
        <w:tc>
          <w:tcPr>
            <w:tcW w:w="10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-462280</wp:posOffset>
            </wp:positionV>
            <wp:extent cx="60325"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41" w:lineRule="exact"/>
        <w:rPr>
          <w:sz w:val="20"/>
          <w:szCs w:val="20"/>
          <w:color w:val="auto"/>
        </w:rPr>
      </w:pPr>
    </w:p>
    <w:p>
      <w:pPr>
        <w:jc w:val="both"/>
        <w:ind w:right="500" w:firstLine="509"/>
        <w:spacing w:after="0" w:line="246" w:lineRule="auto"/>
        <w:rPr>
          <w:sz w:val="20"/>
          <w:szCs w:val="20"/>
          <w:color w:val="auto"/>
        </w:rPr>
      </w:pPr>
      <w:r>
        <w:rPr>
          <w:rFonts w:ascii="Arial" w:cs="Arial" w:eastAsia="Arial" w:hAnsi="Arial"/>
          <w:sz w:val="18"/>
          <w:szCs w:val="18"/>
          <w:color w:val="auto"/>
        </w:rPr>
        <w:t>Amounts assigned to identifiable intangible assets are being amortized on a straight-line basis over their determined useful lives (which approximates the economic pattern of benefit) and are as follows as of April 30, 2021:</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6"/>
                <w:szCs w:val="16"/>
                <w:color w:val="auto"/>
              </w:rPr>
            </w:pPr>
          </w:p>
        </w:tc>
      </w:tr>
      <w:tr>
        <w:trPr>
          <w:trHeight w:val="216"/>
        </w:trPr>
        <w:tc>
          <w:tcPr>
            <w:tcW w:w="506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4"/>
                <w:szCs w:val="14"/>
                <w:b w:val="1"/>
                <w:bCs w:val="1"/>
                <w:color w:val="auto"/>
              </w:rPr>
              <w:t>Fair Value</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rPr>
              <w:t>Average Useful Life</w:t>
            </w:r>
          </w:p>
        </w:tc>
        <w:tc>
          <w:tcPr>
            <w:tcW w:w="100" w:type="dxa"/>
            <w:vAlign w:val="bottom"/>
          </w:tcPr>
          <w:p>
            <w:pPr>
              <w:spacing w:after="0"/>
              <w:rPr>
                <w:sz w:val="18"/>
                <w:szCs w:val="18"/>
                <w:color w:val="auto"/>
              </w:rPr>
            </w:pPr>
          </w:p>
        </w:tc>
      </w:tr>
      <w:tr>
        <w:trPr>
          <w:trHeight w:val="201"/>
        </w:trPr>
        <w:tc>
          <w:tcPr>
            <w:tcW w:w="506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Pr>
          <w:p>
            <w:pPr>
              <w:spacing w:after="0"/>
              <w:rPr>
                <w:sz w:val="17"/>
                <w:szCs w:val="17"/>
                <w:color w:val="auto"/>
              </w:rPr>
            </w:pPr>
          </w:p>
        </w:tc>
      </w:tr>
      <w:tr>
        <w:trPr>
          <w:trHeight w:val="21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680" w:type="dxa"/>
            <w:vAlign w:val="bottom"/>
            <w:shd w:val="clear" w:color="auto" w:fill="CFF0FC"/>
          </w:tcPr>
          <w:p>
            <w:pPr>
              <w:jc w:val="right"/>
              <w:ind w:right="147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17,877</w:t>
            </w:r>
          </w:p>
        </w:tc>
        <w:tc>
          <w:tcPr>
            <w:tcW w:w="220" w:type="dxa"/>
            <w:vAlign w:val="bottom"/>
            <w:shd w:val="clear" w:color="auto" w:fill="CFF0FC"/>
          </w:tcPr>
          <w:p>
            <w:pPr>
              <w:spacing w:after="0"/>
              <w:rPr>
                <w:sz w:val="18"/>
                <w:szCs w:val="18"/>
                <w:color w:val="auto"/>
              </w:rPr>
            </w:pPr>
          </w:p>
        </w:tc>
        <w:tc>
          <w:tcPr>
            <w:tcW w:w="2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7,851</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 name</w:t>
            </w:r>
          </w:p>
        </w:tc>
        <w:tc>
          <w:tcPr>
            <w:tcW w:w="16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6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8"/>
                <w:szCs w:val="18"/>
                <w:color w:val="auto"/>
              </w:rPr>
              <w:t>Total identifiable intangible assets</w:t>
            </w:r>
          </w:p>
        </w:tc>
        <w:tc>
          <w:tcPr>
            <w:tcW w:w="1680" w:type="dxa"/>
            <w:vAlign w:val="bottom"/>
            <w:tcBorders>
              <w:bottom w:val="single" w:sz="8" w:color="auto"/>
            </w:tcBorders>
          </w:tcPr>
          <w:p>
            <w:pPr>
              <w:jc w:val="right"/>
              <w:ind w:right="14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26,574</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-170815</wp:posOffset>
            </wp:positionV>
            <wp:extent cx="6858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1"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At the closing of the acquisition, EBI became a wholly owned subsidiary of the Company and EBI’s operations have been included in the Company’s condensed consolidated financial statements in the Company’s satellite services segment (with an insignificant amount included in the Company's commercial networks segment) commencing on the acquisition date.</w:t>
      </w:r>
    </w:p>
    <w:p>
      <w:pPr>
        <w:spacing w:after="0" w:line="141"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As EBI’s results of operations are not material to the Company’s consolidated results of operations, pro forma results of operations for this acquisition have not been presented.</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RigNet, Inc.</w:t>
      </w:r>
    </w:p>
    <w:p>
      <w:pPr>
        <w:spacing w:after="0" w:line="9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April 30, 2021, the Company completed the acquisition of all outstanding shares of RigNet, a publicly held leading provider of ultra-secure, intelligent networking solutions and specialized applications. Goodwill recognized in the transaction was recorded within the Company's satellite services segment. The goodwill recognized was not deductible for U.S. and foreign income tax purposes.</w:t>
      </w:r>
    </w:p>
    <w:p>
      <w:pPr>
        <w:spacing w:after="0" w:line="149"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 consideration transferred of approximately $317.9 million was primarily comprised of $207.2 million of the fair value of approximately 4.0 million shares of the Company’s common stock issued at the closing date, $107.3 million related to the pay down of outstanding borrowings of RigNet’s revolving credit facility, a de minimis amount in cash consideration in respect of fractional shares to the former shareholders of RigNet and an insignificant amount of other consideration. In connection with the RigNet acquisition, the Company recorded no merger-related transaction costs during the three and six months ended September 30, 2022, respectively, and an insignificant amount and approximately $7.1 million, respectively, for the three and six months ended September 30, 2021, included in selling, general and administrative expenses.</w:t>
      </w:r>
    </w:p>
    <w:p>
      <w:pPr>
        <w:spacing w:after="0" w:line="165"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The purchase price allocation of the acquired assets and assumed liabilities based on the estimated fair values as of April 30, 2021 is as follows: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6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2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(In thousands)</w:t>
            </w:r>
          </w:p>
        </w:tc>
      </w:tr>
      <w:tr>
        <w:trPr>
          <w:trHeight w:val="20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58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2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88,166</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Property, equipment and satellites</w:t>
            </w:r>
          </w:p>
        </w:tc>
        <w:tc>
          <w:tcPr>
            <w:tcW w:w="58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63,191</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Identifiable intangible assets</w:t>
            </w:r>
          </w:p>
        </w:tc>
        <w:tc>
          <w:tcPr>
            <w:tcW w:w="580" w:type="dxa"/>
            <w:vAlign w:val="bottom"/>
            <w:shd w:val="clear" w:color="auto" w:fill="CFF0FC"/>
          </w:tcPr>
          <w:p>
            <w:pPr>
              <w:spacing w:after="0"/>
              <w:rPr>
                <w:sz w:val="18"/>
                <w:szCs w:val="18"/>
                <w:color w:val="auto"/>
              </w:rPr>
            </w:pPr>
          </w:p>
        </w:tc>
        <w:tc>
          <w:tcPr>
            <w:tcW w:w="2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221,540</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Other assets</w:t>
            </w:r>
          </w:p>
        </w:tc>
        <w:tc>
          <w:tcPr>
            <w:tcW w:w="5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13,350</w:t>
            </w:r>
          </w:p>
        </w:tc>
        <w:tc>
          <w:tcPr>
            <w:tcW w:w="100" w:type="dxa"/>
            <w:vAlign w:val="bottom"/>
          </w:tcPr>
          <w:p>
            <w:pPr>
              <w:spacing w:after="0"/>
              <w:rPr>
                <w:sz w:val="18"/>
                <w:szCs w:val="18"/>
                <w:color w:val="auto"/>
              </w:rPr>
            </w:pPr>
          </w:p>
        </w:tc>
      </w:tr>
      <w:tr>
        <w:trPr>
          <w:trHeight w:val="209"/>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assets acquired</w:t>
            </w:r>
          </w:p>
        </w:tc>
        <w:tc>
          <w:tcPr>
            <w:tcW w:w="5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2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386,247</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tcPr>
          <w:p>
            <w:pPr>
              <w:spacing w:after="0"/>
              <w:rPr>
                <w:sz w:val="18"/>
                <w:szCs w:val="18"/>
                <w:color w:val="auto"/>
              </w:rPr>
            </w:pPr>
          </w:p>
        </w:tc>
        <w:tc>
          <w:tcPr>
            <w:tcW w:w="2620" w:type="dxa"/>
            <w:vAlign w:val="bottom"/>
            <w:gridSpan w:val="2"/>
          </w:tcPr>
          <w:p>
            <w:pPr>
              <w:jc w:val="right"/>
              <w:ind w:right="20"/>
              <w:spacing w:after="0"/>
              <w:rPr>
                <w:sz w:val="20"/>
                <w:szCs w:val="20"/>
                <w:color w:val="auto"/>
              </w:rPr>
            </w:pPr>
            <w:r>
              <w:rPr>
                <w:rFonts w:ascii="Arial" w:cs="Arial" w:eastAsia="Arial" w:hAnsi="Arial"/>
                <w:sz w:val="18"/>
                <w:szCs w:val="18"/>
                <w:color w:val="auto"/>
              </w:rPr>
              <w:t>(66,006 )</w:t>
            </w: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(31,433 )</w:t>
            </w:r>
          </w:p>
        </w:tc>
      </w:tr>
      <w:tr>
        <w:trPr>
          <w:trHeight w:val="20"/>
        </w:trPr>
        <w:tc>
          <w:tcPr>
            <w:tcW w:w="69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900" w:type="dxa"/>
            <w:vAlign w:val="bottom"/>
          </w:tcPr>
          <w:p>
            <w:pPr>
              <w:ind w:left="260"/>
              <w:spacing w:after="0"/>
              <w:rPr>
                <w:sz w:val="20"/>
                <w:szCs w:val="20"/>
                <w:color w:val="auto"/>
              </w:rPr>
            </w:pPr>
            <w:r>
              <w:rPr>
                <w:rFonts w:ascii="Arial" w:cs="Arial" w:eastAsia="Arial" w:hAnsi="Arial"/>
                <w:sz w:val="18"/>
                <w:szCs w:val="18"/>
                <w:color w:val="auto"/>
              </w:rPr>
              <w:t>Total liabilities assumed</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2620" w:type="dxa"/>
            <w:vAlign w:val="bottom"/>
            <w:gridSpan w:val="2"/>
          </w:tcPr>
          <w:p>
            <w:pPr>
              <w:jc w:val="right"/>
              <w:ind w:right="20"/>
              <w:spacing w:after="0"/>
              <w:rPr>
                <w:sz w:val="20"/>
                <w:szCs w:val="20"/>
                <w:color w:val="auto"/>
              </w:rPr>
            </w:pPr>
            <w:r>
              <w:rPr>
                <w:rFonts w:ascii="Arial" w:cs="Arial" w:eastAsia="Arial" w:hAnsi="Arial"/>
                <w:sz w:val="18"/>
                <w:szCs w:val="18"/>
                <w:color w:val="auto"/>
              </w:rPr>
              <w:t>(97,439 )</w:t>
            </w: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580" w:type="dxa"/>
            <w:vAlign w:val="bottom"/>
            <w:tcBorders>
              <w:bottom w:val="single" w:sz="8" w:color="auto"/>
            </w:tcBorders>
            <w:shd w:val="clear" w:color="auto" w:fill="CFF0FC"/>
          </w:tcPr>
          <w:p>
            <w:pPr>
              <w:spacing w:after="0"/>
              <w:rPr>
                <w:sz w:val="18"/>
                <w:szCs w:val="18"/>
                <w:color w:val="auto"/>
              </w:rPr>
            </w:pPr>
          </w:p>
        </w:tc>
        <w:tc>
          <w:tcPr>
            <w:tcW w:w="2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Total consideration transferred</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317,940</w:t>
            </w:r>
          </w:p>
        </w:tc>
        <w:tc>
          <w:tcPr>
            <w:tcW w:w="10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41" w:lineRule="exact"/>
        <w:rPr>
          <w:sz w:val="20"/>
          <w:szCs w:val="20"/>
          <w:color w:val="auto"/>
        </w:rPr>
      </w:pPr>
    </w:p>
    <w:p>
      <w:pPr>
        <w:jc w:val="both"/>
        <w:ind w:right="520" w:firstLine="509"/>
        <w:spacing w:after="0" w:line="246" w:lineRule="auto"/>
        <w:rPr>
          <w:sz w:val="20"/>
          <w:szCs w:val="20"/>
          <w:color w:val="auto"/>
        </w:rPr>
      </w:pPr>
      <w:r>
        <w:rPr>
          <w:rFonts w:ascii="Arial" w:cs="Arial" w:eastAsia="Arial" w:hAnsi="Arial"/>
          <w:sz w:val="18"/>
          <w:szCs w:val="18"/>
          <w:color w:val="auto"/>
        </w:rPr>
        <w:t>Amounts assigned to identifiable intangible assets are being amortized on a straight-line basis over their determined useful lives (which approximates the economic pattern of benefit) and are as follows as of April 30, 2021:</w:t>
      </w:r>
    </w:p>
    <w:p>
      <w:pPr>
        <w:spacing w:after="0" w:line="292"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6"/>
                <w:szCs w:val="16"/>
                <w:color w:val="auto"/>
              </w:rPr>
            </w:pPr>
          </w:p>
        </w:tc>
      </w:tr>
      <w:tr>
        <w:trPr>
          <w:trHeight w:val="216"/>
        </w:trPr>
        <w:tc>
          <w:tcPr>
            <w:tcW w:w="5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jc w:val="right"/>
              <w:ind w:right="715"/>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Average Useful Life</w:t>
            </w:r>
          </w:p>
        </w:tc>
        <w:tc>
          <w:tcPr>
            <w:tcW w:w="100" w:type="dxa"/>
            <w:vAlign w:val="bottom"/>
          </w:tcPr>
          <w:p>
            <w:pPr>
              <w:spacing w:after="0"/>
              <w:rPr>
                <w:sz w:val="18"/>
                <w:szCs w:val="18"/>
                <w:color w:val="auto"/>
              </w:rPr>
            </w:pPr>
          </w:p>
        </w:tc>
      </w:tr>
      <w:tr>
        <w:trPr>
          <w:trHeight w:val="201"/>
        </w:trPr>
        <w:tc>
          <w:tcPr>
            <w:tcW w:w="5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Pr>
          <w:p>
            <w:pPr>
              <w:spacing w:after="0"/>
              <w:rPr>
                <w:sz w:val="17"/>
                <w:szCs w:val="17"/>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Technology</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85,440</w:t>
            </w:r>
          </w:p>
        </w:tc>
        <w:tc>
          <w:tcPr>
            <w:tcW w:w="220" w:type="dxa"/>
            <w:vAlign w:val="bottom"/>
            <w:shd w:val="clear" w:color="auto" w:fill="CFF0FC"/>
          </w:tcPr>
          <w:p>
            <w:pPr>
              <w:spacing w:after="0"/>
              <w:rPr>
                <w:sz w:val="18"/>
                <w:szCs w:val="18"/>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101,920</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38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25,540</w:t>
            </w:r>
          </w:p>
        </w:tc>
        <w:tc>
          <w:tcPr>
            <w:tcW w:w="2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8,640</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50"/>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identifiable intangible assets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221,540</w:t>
            </w:r>
          </w:p>
        </w:tc>
        <w:tc>
          <w:tcPr>
            <w:tcW w:w="25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Management determined the fair value of acquired customer relationships intangible asset by applying the multi-period excess</w:t>
      </w:r>
    </w:p>
    <w:p>
      <w:pPr>
        <w:spacing w:after="0" w:line="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earnings method, which involved the use of significant estimates and assumptions related to forecasted revenue growth rate, gross margin, contributory asset charges, customer attrition rate and discount rate. In connection with the acquisition, the Company assumed a contingent liability associated with a RigNet predecessor subsidiary of approximately $13.8 million, which represented the maximum amount payable under the terms of the agreement. As of September 30, 2022, no amount remains payable as the maximum amount payable was paid during the first and second quarters of fiscal year 2022.</w:t>
      </w:r>
    </w:p>
    <w:p>
      <w:pPr>
        <w:spacing w:after="0" w:line="149"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The condensed consolidated financial statements include the operating results of RigNet from the date of acquisition. Since the acquisition date, the Company recorded approximately $45.2 million and $79.2 million in revenue for the three and six months ended September 30, 2021, respectively, and $9.9 million and $16.2 million of net losses for the three and six months ended September 30, 2021, respectively, with respect to the RigNet business primarily in the Company’s satellite services segment (with a portion included in its commercial networks segment) in the condensed consolidated statements of operations.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9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unaudited financial information in the table below summarizes the combined results of operations for the Company and RigNet on a pro forma basis, as though the companies had been combined as of the beginning of fiscal year 2021, April 1, 2020. The pro forma information is presented for informational purposes only and may not be indicative of the results of operations that would have been achieved if the acquisition had taken place at the beginning of the related fiscal periods. The pro forma financial information for the three-month and six-month periods ended September 30, 2021 include the business combination accounting effects primarily related to the amortization and depreciation changes from acquired intangible and tangible assets, acquisition-related transaction costs and related tax effects.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80" w:type="dxa"/>
            <w:vAlign w:val="bottom"/>
          </w:tcPr>
          <w:p>
            <w:pPr>
              <w:jc w:val="right"/>
              <w:ind w:right="541"/>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40" w:type="dxa"/>
            <w:vAlign w:val="bottom"/>
          </w:tcPr>
          <w:p>
            <w:pPr>
              <w:jc w:val="right"/>
              <w:ind w:right="619"/>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r>
      <w:tr>
        <w:trPr>
          <w:trHeight w:val="201"/>
        </w:trPr>
        <w:tc>
          <w:tcPr>
            <w:tcW w:w="55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September 30, 2021</w:t>
            </w: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7"/>
                <w:szCs w:val="17"/>
                <w:color w:val="auto"/>
              </w:rPr>
            </w:pPr>
          </w:p>
        </w:tc>
      </w:tr>
      <w:tr>
        <w:trPr>
          <w:trHeight w:val="209"/>
        </w:trPr>
        <w:tc>
          <w:tcPr>
            <w:tcW w:w="5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(In thousands)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701,354</w:t>
            </w:r>
          </w:p>
        </w:tc>
        <w:tc>
          <w:tcPr>
            <w:tcW w:w="7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1,377,831</w:t>
            </w:r>
          </w:p>
        </w:tc>
        <w:tc>
          <w:tcPr>
            <w:tcW w:w="100" w:type="dxa"/>
            <w:vAlign w:val="bottom"/>
            <w:shd w:val="clear" w:color="auto" w:fill="CFF0FC"/>
          </w:tcPr>
          <w:p>
            <w:pPr>
              <w:spacing w:after="0"/>
              <w:rPr>
                <w:sz w:val="18"/>
                <w:szCs w:val="18"/>
                <w:color w:val="auto"/>
              </w:rPr>
            </w:pPr>
          </w:p>
        </w:tc>
      </w:tr>
      <w:tr>
        <w:trPr>
          <w:trHeight w:val="188"/>
        </w:trPr>
        <w:tc>
          <w:tcPr>
            <w:tcW w:w="5560" w:type="dxa"/>
            <w:vAlign w:val="bottom"/>
          </w:tcPr>
          <w:p>
            <w:pPr>
              <w:ind w:left="20"/>
              <w:spacing w:after="0" w:line="189" w:lineRule="exact"/>
              <w:rPr>
                <w:sz w:val="20"/>
                <w:szCs w:val="20"/>
                <w:color w:val="auto"/>
              </w:rPr>
            </w:pPr>
            <w:r>
              <w:rPr>
                <w:rFonts w:ascii="Arial" w:cs="Arial" w:eastAsia="Arial" w:hAnsi="Arial"/>
                <w:sz w:val="18"/>
                <w:szCs w:val="18"/>
                <w:color w:val="auto"/>
              </w:rPr>
              <w:t>Net income (loss) attributable</w:t>
            </w:r>
          </w:p>
        </w:tc>
        <w:tc>
          <w:tcPr>
            <w:tcW w:w="3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5560" w:type="dxa"/>
            <w:vAlign w:val="bottom"/>
          </w:tcPr>
          <w:p>
            <w:pPr>
              <w:ind w:left="180"/>
              <w:spacing w:after="0"/>
              <w:rPr>
                <w:sz w:val="20"/>
                <w:szCs w:val="20"/>
                <w:color w:val="auto"/>
              </w:rPr>
            </w:pPr>
            <w:r>
              <w:rPr>
                <w:rFonts w:ascii="Arial" w:cs="Arial" w:eastAsia="Arial" w:hAnsi="Arial"/>
                <w:sz w:val="18"/>
                <w:szCs w:val="18"/>
                <w:color w:val="auto"/>
              </w:rPr>
              <w:t>to Viasat, Inc.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3,291</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15,835</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Shares Used In Computing Diluted Net Income (Loss) Per Share</w:t>
      </w:r>
    </w:p>
    <w:p>
      <w:pPr>
        <w:spacing w:after="0" w:line="99"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the three and six months ended September 30, 2022 and for the three and six months ended September 30, 2021, as the Company incurred a net loss from continuing operations (excluding income (loss) from continuing operations attributable to the noncontrolling interest) for such periods and inclusion of potentially dilutive weighted average shares of common stock would be antidilutive. Potentially dilutive weighted average shares excluded from the calculation for the three months ended September 30, 2022 consisted of 633,511 shares related to stock options (other than TSR performance stock options), 494,226 shares related to TSR performance stock options, 3,235,912 shares related to restricted stock units and 474,173 shares related to certain terms of the Viasat 401(k) Profit Sharing Plan and Employee Stock Purchase Plan. Potentially dilutive weighted average shares excluded from the calculation for the three months ended September 30, 2021 consisted of 993,157 shares related to stock options (other than TSR performance stock options), 177,931 shares related to TSR performance stock options, 1,791,123 shares related to restricted stock units and 207,205 shares related to certain terms of the Viasat 401(k) Profit Sharing Plan and Employee Stock Purchase Plan.</w:t>
      </w:r>
    </w:p>
    <w:p>
      <w:pPr>
        <w:spacing w:after="0" w:line="153"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Potentially dilutive weighted average shares excluded from the calculation for the six months ended September 30, 2022 consisted of 628,938 shares related to stock options (other than TSR performance stock options), 483,787 shares related to TSR performance stock options, 3,013,496 shares related to restricted stock units and 643,540 shares related to certain terms of the Viasat 401(k) Profit Sharing Plan and Employee Stock Purchase Plan. Potentially dilutive weighted average shares excluded from the calculation for the six months ended September 30, 2021 consisted of 979,436 shares related to stock options (other than TSR performance stock options), 144,448 shares related to TSR performance stock options, 1,716,839 shares related to restricted stock units and 358,540 shares related to certain terms of the Viasat 401(k) Profit Sharing Plan and Employee Stock Purchase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Acquired Intangible Assets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September 30, 2022, the decrease in the Company’s goodwill relating to its continuing operations</w:t>
      </w:r>
    </w:p>
    <w:p>
      <w:pPr>
        <w:ind w:right="20"/>
        <w:spacing w:after="0" w:line="243" w:lineRule="auto"/>
        <w:rPr>
          <w:sz w:val="20"/>
          <w:szCs w:val="20"/>
          <w:color w:val="auto"/>
        </w:rPr>
      </w:pPr>
      <w:r>
        <w:rPr>
          <w:rFonts w:ascii="Arial" w:cs="Arial" w:eastAsia="Arial" w:hAnsi="Arial"/>
          <w:sz w:val="18"/>
          <w:szCs w:val="18"/>
          <w:color w:val="auto"/>
        </w:rPr>
        <w:t>primarily related to a foreign currency translation effect recorded within all three of the Company's segments. As of September 30, 2022 and March 31, 2022, approximately $21.0 million and $21.4 million of goodwill in the government systems segment was reclassified to discontinued operations, respectively. See Note 4 — Discontinued Operations— for more information on discontinued operations. During the six months ended September 30, 2021, the increase in the Company’s goodwill related to the acquisitions of the remaining 51% interest in EBI and of RigNet on April 30, 2021 (see Note 5 – Acquisitions for more information) and an insignificant effect of foreign currency translation recorded within all three of the Company’s segments.</w:t>
      </w:r>
    </w:p>
    <w:p>
      <w:pPr>
        <w:spacing w:after="0" w:line="147" w:lineRule="exact"/>
        <w:rPr>
          <w:sz w:val="20"/>
          <w:szCs w:val="20"/>
          <w:color w:val="auto"/>
        </w:rPr>
      </w:pPr>
    </w:p>
    <w:p>
      <w:pPr>
        <w:ind w:right="540" w:firstLine="509"/>
        <w:spacing w:after="0" w:line="246" w:lineRule="auto"/>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20 years (which approximates the economic pattern of benefit). Amortization expense related to other acquired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intangible assets was $7.4 million for both the three months ended September 30, 2022 and 2021, and $14.9 million and $13.3 million for the six months ended September 30, 2022 and 2021,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Senior Notes and Other Long-Term Debt</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September 30, 2022 and March 31, 2022:</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right"/>
              <w:ind w:right="828"/>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As of</w:t>
            </w:r>
          </w:p>
        </w:tc>
      </w:tr>
      <w:tr>
        <w:trPr>
          <w:trHeight w:val="189"/>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March 31, 2022</w:t>
            </w:r>
          </w:p>
        </w:tc>
        <w:tc>
          <w:tcPr>
            <w:tcW w:w="80" w:type="dxa"/>
            <w:vAlign w:val="bottom"/>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right"/>
              <w:ind w:right="154"/>
              <w:spacing w:after="0"/>
              <w:rPr>
                <w:sz w:val="20"/>
                <w:szCs w:val="20"/>
                <w:color w:val="auto"/>
              </w:rPr>
            </w:pPr>
            <w:r>
              <w:rPr>
                <w:rFonts w:ascii="Arial" w:cs="Arial" w:eastAsia="Arial" w:hAnsi="Arial"/>
                <w:sz w:val="14"/>
                <w:szCs w:val="14"/>
                <w:b w:val="1"/>
                <w:bCs w:val="1"/>
                <w:color w:val="auto"/>
              </w:rPr>
              <w:t>(In</w:t>
            </w:r>
          </w:p>
        </w:tc>
        <w:tc>
          <w:tcPr>
            <w:tcW w:w="1920" w:type="dxa"/>
            <w:vAlign w:val="bottom"/>
            <w:gridSpan w:val="3"/>
          </w:tcPr>
          <w:p>
            <w:pPr>
              <w:jc w:val="center"/>
              <w:ind w:right="1253"/>
              <w:spacing w:after="0"/>
              <w:rPr>
                <w:sz w:val="20"/>
                <w:szCs w:val="20"/>
                <w:color w:val="auto"/>
              </w:rPr>
            </w:pPr>
            <w:r>
              <w:rPr>
                <w:rFonts w:ascii="Arial" w:cs="Arial" w:eastAsia="Arial" w:hAnsi="Arial"/>
                <w:sz w:val="14"/>
                <w:szCs w:val="14"/>
                <w:b w:val="1"/>
                <w:bCs w:val="1"/>
                <w:color w:val="auto"/>
                <w:w w:val="76"/>
              </w:rPr>
              <w:t>thousands)</w:t>
            </w:r>
          </w:p>
        </w:tc>
        <w:tc>
          <w:tcPr>
            <w:tcW w:w="80" w:type="dxa"/>
            <w:vAlign w:val="bottom"/>
          </w:tcPr>
          <w:p>
            <w:pPr>
              <w:spacing w:after="0"/>
              <w:rPr>
                <w:sz w:val="14"/>
                <w:szCs w:val="14"/>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2028 Notes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2027 Notes</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18"/>
                <w:szCs w:val="18"/>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2025 Notes</w:t>
            </w: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Term Loan Facility</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698,250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tcPr>
          <w:p>
            <w:pPr>
              <w:spacing w:after="0"/>
              <w:rPr>
                <w:sz w:val="18"/>
                <w:szCs w:val="18"/>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210,000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Ex-Im Credit Facility</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68,783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78,609</w:t>
            </w:r>
          </w:p>
        </w:tc>
        <w:tc>
          <w:tcPr>
            <w:tcW w:w="80" w:type="dxa"/>
            <w:vAlign w:val="bottom"/>
          </w:tcPr>
          <w:p>
            <w:pPr>
              <w:spacing w:after="0"/>
              <w:rPr>
                <w:sz w:val="18"/>
                <w:szCs w:val="18"/>
                <w:color w:val="auto"/>
              </w:rPr>
            </w:pPr>
          </w:p>
        </w:tc>
      </w:tr>
      <w:tr>
        <w:trPr>
          <w:trHeight w:val="216"/>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Finance lease obligations (see Note 1)</w:t>
            </w:r>
          </w:p>
        </w:tc>
        <w:tc>
          <w:tcPr>
            <w:tcW w:w="1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42,839</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45,752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Total debt</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2,719,872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2,524,361</w:t>
            </w:r>
          </w:p>
        </w:tc>
        <w:tc>
          <w:tcPr>
            <w:tcW w:w="80" w:type="dxa"/>
            <w:vAlign w:val="bottom"/>
          </w:tcPr>
          <w:p>
            <w:pPr>
              <w:spacing w:after="0"/>
              <w:rPr>
                <w:sz w:val="18"/>
                <w:szCs w:val="18"/>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 and debt issuance costs</w:t>
            </w:r>
          </w:p>
        </w:tc>
        <w:tc>
          <w:tcPr>
            <w:tcW w:w="1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(34,316 )</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(38,234 )</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38,577</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34,911</w:t>
            </w:r>
          </w:p>
        </w:tc>
        <w:tc>
          <w:tcPr>
            <w:tcW w:w="80" w:type="dxa"/>
            <w:vAlign w:val="bottom"/>
          </w:tcPr>
          <w:p>
            <w:pPr>
              <w:spacing w:after="0"/>
              <w:rPr>
                <w:sz w:val="18"/>
                <w:szCs w:val="18"/>
                <w:color w:val="auto"/>
              </w:rPr>
            </w:pPr>
          </w:p>
        </w:tc>
      </w:tr>
      <w:tr>
        <w:trPr>
          <w:trHeight w:val="249"/>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2,646,979</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2,451,216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-591185</wp:posOffset>
            </wp:positionV>
            <wp:extent cx="60325"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-591185</wp:posOffset>
            </wp:positionV>
            <wp:extent cx="51435"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03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85"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 March 2022, the Company entered into a $700.0 million Term Loan Facility, which was fully drawn at closing and matures on March 4, 2029. At September 30, 2022, the Company had $698.3 million in principal amount of outstanding borrowings under the Term Loan Facility.</w:t>
      </w:r>
    </w:p>
    <w:p>
      <w:pPr>
        <w:spacing w:after="0" w:line="14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Borrowings under the Term Loan Facility are required to be repaid in quarterly installments of $1.75 million each, which commenced on September 30, 2022, followed by a final installment of $654.5 million at maturity. Borrowings under the Term Loan Facility bear interest, at the Company’s option, at either (1) a base rate equal to the greater of the administrative agent’s prime rate as announced from time to time, the federal funds effective rate plus 0.50%, and the forward-looking SOFR term rate administered by CME for a one-month interest period plus 1.00%, subject to a floor of 1.50% for the initial term loans, plus an applicable margin of 3.50%, or (2) the forward-looking SOFR term rate administered by CME for the applicable interest period, subject to a floor of 0.50% for the initial term loans, plus an applicable margin of 4.50%. As of September 30, 2022, the effective interest rate on the Company’s outstanding borrowings under the Term Loan Facility was</w:t>
      </w:r>
    </w:p>
    <w:p>
      <w:pPr>
        <w:spacing w:after="0" w:line="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8.21%. The Term Loan Facility is required to be guaranteed by certain significant domestic subsidiaries of the Company (as defined in the Term Loan Facility) and secured by substantially all of the Company’s and any such subsidiaries’ assets. As of September 30, 2022, none of the Company’s subsidiaries guaranteed the Term Loan Facility.</w:t>
      </w:r>
    </w:p>
    <w:p>
      <w:pPr>
        <w:spacing w:after="0" w:line="149" w:lineRule="exact"/>
        <w:rPr>
          <w:sz w:val="20"/>
          <w:szCs w:val="20"/>
          <w:color w:val="auto"/>
        </w:rPr>
      </w:pPr>
    </w:p>
    <w:p>
      <w:pPr>
        <w:jc w:val="both"/>
        <w:ind w:right="260" w:firstLine="509"/>
        <w:spacing w:after="0" w:line="248" w:lineRule="auto"/>
        <w:rPr>
          <w:sz w:val="20"/>
          <w:szCs w:val="20"/>
          <w:color w:val="auto"/>
        </w:rPr>
      </w:pPr>
      <w:r>
        <w:rPr>
          <w:rFonts w:ascii="Arial" w:cs="Arial" w:eastAsia="Arial" w:hAnsi="Arial"/>
          <w:sz w:val="18"/>
          <w:szCs w:val="18"/>
          <w:color w:val="auto"/>
        </w:rPr>
        <w:t>The Term Loan Facility contains covenants that restrict, among other things, the ability of Company and its restricted subsidiaries to incur additional debt, grant liens, sell assets, make investments, pay dividends and make certain other restricted payments. The Company was in compliance with its financial covenants under the Term Loan Facility as of September 30, 2022.</w:t>
      </w:r>
    </w:p>
    <w:p>
      <w:pPr>
        <w:spacing w:after="0" w:line="141"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auto"/>
        </w:rPr>
        <w:t>Borrowings under the Term Loan Facility are recorded as current portion of long-term debt and as other long-term debt, net of unamortized discount and debt issuance costs, in the Company’s condensed consolidated financial statements. The Term Loan Facility was issued with an original issue discount of 2.00%, or $14.0 million. The original issue discount and deferred financing cost associated with the issuance of the borrowings under the Term Loan Facility are amortized to interest expense on a straight-line basis over the term of the Term Loan Facility, the results of which are not materially different from the effective interest rate basis.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9"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As of September 30, 2022, the Revolving Credit Facility provided a $700.0 million revolving line of credit (including up to $150.0 million of letters of credit), with a maturity date of January 18, 2024. At September 30, 2022, the Company had $210.0 million in principal amount of outstanding borrowings under the Revolving Credit Facility and $60.8 million outstanding under standby letters of credit, leaving borrowing availability under the Revolving Credit Facility as of September 30, 2022 of $429.2 million.</w:t>
      </w:r>
    </w:p>
    <w:p>
      <w:pPr>
        <w:spacing w:after="0" w:line="16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As of September 30, 2022, the weighted average effective interest rate on the Company’s outstanding borrowings under the Revolving Credit Facility was 4.85%.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September 30, 2022, none of the Company’s subsidiaries guaranteed the Revolving Credit Facility.</w:t>
      </w:r>
    </w:p>
    <w:p>
      <w:pPr>
        <w:spacing w:after="0" w:line="153"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Revolving Credit Facility as of September 30, 2022.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$41.2 million used to finance the total exposure fees incurred under the Ex-Im Credit Facility (which included all previously accrued completion exposure fees). As of September 30, 2022, the Company had $68.8 million in principal amount of outstanding borrowings under the Ex-Im Credit Facility.</w:t>
      </w:r>
    </w:p>
    <w:p>
      <w:pPr>
        <w:spacing w:after="0" w:line="16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The Ex-Im Credit Facility is guaranteed by Viasat and is secured by first-priority liens on the ViaSat-2 satellite and related assets, as well as a pledge of the capital stock of the borrower under the facility.</w:t>
      </w:r>
    </w:p>
    <w:p>
      <w:pPr>
        <w:spacing w:after="0" w:line="16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September 30, 2022.</w:t>
      </w:r>
    </w:p>
    <w:p>
      <w:pPr>
        <w:spacing w:after="0" w:line="147"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Borrowings under the Ex-Im Credit Facility are recorded as current portion of long-term debt and as other long-term debt, net of unamortized discount and debt issuance costs, in the Company’s condensed consolidated financial statements. The discount of $42.3 million (consisting of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162"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In August 2022, the Company amended the Ex-Im Credit Facility to provide additional covenant flexibility. Certain of the amendments will become effective at and are conditional upon the closing of the Inmarsat Transaction.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2028</w:t>
      </w:r>
    </w:p>
    <w:p>
      <w:pPr>
        <w:spacing w:after="0" w:line="8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June 2020, the Company issued $400.0 million in principal amount of 2028 Notes in a private placement to institutional buyers. The 2028 Notes were issued at face value and are recorded as long-term debt, net of debt issuance costs, in the Company’s condensed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spacing w:after="0" w:line="147"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The 2028 Notes are required to be guaranteed on an unsecured senior basis by each of the Company’s existing and future subsidiaries that guarantees the Revolving Credit Facility. As of September 30, 2022,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spacing w:after="0" w:line="152" w:lineRule="exact"/>
        <w:rPr>
          <w:sz w:val="20"/>
          <w:szCs w:val="20"/>
          <w:color w:val="auto"/>
        </w:rPr>
      </w:pPr>
    </w:p>
    <w:p>
      <w:pPr>
        <w:ind w:right="380" w:firstLine="509"/>
        <w:spacing w:after="0" w:line="245" w:lineRule="auto"/>
        <w:rPr>
          <w:sz w:val="20"/>
          <w:szCs w:val="20"/>
          <w:color w:val="auto"/>
        </w:rPr>
      </w:pPr>
      <w:r>
        <w:rPr>
          <w:rFonts w:ascii="Arial" w:cs="Arial" w:eastAsia="Arial" w:hAnsi="Arial"/>
          <w:sz w:val="18"/>
          <w:szCs w:val="18"/>
          <w:color w:val="auto"/>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Prior to July 15, 2023, the Company may redeem up to 40% of the 2028 Notes at a redemption price of 106.500% of the principal amount thereof, plus accrued and unpaid interest, if any, thereon to the redemption date, from the net cash proceeds of specified equity offerings. The Company may also redeem the 2028 Notes prior to July 15, 2023,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2028 Notes and (ii) the excess, if any, of (a) the present value at such date of redemption of (1) the redemption price of such 2028 Notes on July 15, 2023 plus (2) all required interest payments due on such 2028 Notes through July 15, 2023 (excluding accrued but unpaid interest to the date of redemption), computed using a discount rate equal to the treasury rate (as defined under the indenture governing the 2028 Notes) plus 50 basis points, over (b) the then-outstanding principal amount of such 2028 Notes. The 2028 Notes may be redeemed, in whole or in part, at any time during the 12 months beginning on July 15, 2023 at a redemption price of 103.250%, during the 12 months beginning on July 15, 2024 at a redemption price of 101.625%, and at any time on or after July 15, 2025 at a redemption price of 100%, in each case plus accrued and unpaid interest, if any, thereon to the redemption date.</w:t>
      </w:r>
    </w:p>
    <w:p>
      <w:pPr>
        <w:spacing w:after="0" w:line="162" w:lineRule="exact"/>
        <w:rPr>
          <w:sz w:val="20"/>
          <w:szCs w:val="20"/>
          <w:color w:val="auto"/>
        </w:rPr>
      </w:pPr>
    </w:p>
    <w:p>
      <w:pPr>
        <w:jc w:val="both"/>
        <w:ind w:right="80" w:firstLine="509"/>
        <w:spacing w:after="0" w:line="243"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9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March 2019, the Company issued $600.0 million in principal amount of 2027 Notes in a private placement to institutional buyers. The 2027 Notes were issued at face value and are recorded as long-term debt, net of debt issuance costs, in the Company’s condensed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47"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The 2027 Notes are required to be guaranteed on a senior secured basis by each of the Company’s existing and future subsidiaries that guarantees the Revolving Credit Facility. As of September 30, 2022, none of the Company’s</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subsidiaries guaranteed the 2027 Notes. The 2027 Notes are secured, equally and ratably with the Revolving Credit Facility and any future parity lien debt, by liens on substantially all of the Company’s assets.</w:t>
      </w:r>
    </w:p>
    <w:p>
      <w:pPr>
        <w:spacing w:after="0" w:line="13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and the 2028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the Company’s subsidiaries that do not guarantee the 2027 Notes, and are senior in right of payment to all of the Company’s existing and future subordinated indebtedness.</w:t>
      </w:r>
    </w:p>
    <w:p>
      <w:pPr>
        <w:spacing w:after="0" w:line="152" w:lineRule="exact"/>
        <w:rPr>
          <w:sz w:val="20"/>
          <w:szCs w:val="20"/>
          <w:color w:val="auto"/>
        </w:rPr>
      </w:pPr>
    </w:p>
    <w:p>
      <w:pPr>
        <w:ind w:right="440" w:firstLine="509"/>
        <w:spacing w:after="0" w:line="241" w:lineRule="auto"/>
        <w:rPr>
          <w:sz w:val="20"/>
          <w:szCs w:val="20"/>
          <w:color w:val="auto"/>
        </w:rPr>
      </w:pPr>
      <w:r>
        <w:rPr>
          <w:rFonts w:ascii="Arial" w:cs="Arial" w:eastAsia="Arial" w:hAnsi="Arial"/>
          <w:sz w:val="18"/>
          <w:szCs w:val="18"/>
          <w:color w:val="auto"/>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6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2027 Notes may be redeemed, in whole or in part, at any time during the 12 months beginning on April 15, 2022 at a redemption price of 102.813%, during the 12 months beginning on April 15, 2023 at a redemption price of 101.406%, and at any time on or after April 15, 2024 at a redemption price of 100%, in each case plus accrued and unpaid interest, if any, thereon to the redemption date.</w:t>
      </w:r>
    </w:p>
    <w:p>
      <w:pPr>
        <w:spacing w:after="0" w:line="162" w:lineRule="exact"/>
        <w:rPr>
          <w:sz w:val="20"/>
          <w:szCs w:val="20"/>
          <w:color w:val="auto"/>
        </w:rPr>
      </w:pPr>
    </w:p>
    <w:p>
      <w:pPr>
        <w:jc w:val="both"/>
        <w:ind w:right="140" w:firstLine="509"/>
        <w:spacing w:after="0" w:line="243"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95"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The 2025 Notes were issued at face value and are recorded as long-term debt, net of debt issuance costs, in the Company’s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47"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Revolving Credit Facility. As of September 30, 2022,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p>
    <w:p>
      <w:pPr>
        <w:spacing w:after="0" w:line="152" w:lineRule="exact"/>
        <w:rPr>
          <w:sz w:val="20"/>
          <w:szCs w:val="20"/>
          <w:color w:val="auto"/>
        </w:rPr>
      </w:pPr>
    </w:p>
    <w:p>
      <w:pPr>
        <w:ind w:right="440" w:firstLine="509"/>
        <w:spacing w:after="0" w:line="241"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2025 Notes may be redeemed, in whole or in part, at any time at a redemption price of 100%, plus accrued and unpaid interest, if any, thereon to the redemption date.</w:t>
      </w:r>
    </w:p>
    <w:p>
      <w:pPr>
        <w:spacing w:after="0" w:line="130" w:lineRule="exact"/>
        <w:rPr>
          <w:sz w:val="20"/>
          <w:szCs w:val="20"/>
          <w:color w:val="auto"/>
        </w:rPr>
      </w:pPr>
    </w:p>
    <w:p>
      <w:pPr>
        <w:jc w:val="both"/>
        <w:ind w:right="160" w:firstLine="509"/>
        <w:spacing w:after="0" w:line="243"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Product Warranty</w:t>
      </w:r>
    </w:p>
    <w:p>
      <w:pPr>
        <w:spacing w:after="0" w:line="8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six months ended September 30, 2022 and 2021:</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48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right"/>
              <w:ind w:right="308"/>
              <w:spacing w:after="0" w:line="129" w:lineRule="exact"/>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59"/>
              <w:spacing w:after="0"/>
              <w:rPr>
                <w:sz w:val="20"/>
                <w:szCs w:val="20"/>
                <w:color w:val="auto"/>
              </w:rPr>
            </w:pPr>
            <w:r>
              <w:rPr>
                <w:rFonts w:ascii="Arial" w:cs="Arial" w:eastAsia="Arial" w:hAnsi="Arial"/>
                <w:sz w:val="14"/>
                <w:szCs w:val="14"/>
                <w:b w:val="1"/>
                <w:bCs w:val="1"/>
                <w:color w:val="auto"/>
              </w:rPr>
              <w:t>(In</w:t>
            </w:r>
          </w:p>
        </w:tc>
        <w:tc>
          <w:tcPr>
            <w:tcW w:w="1560" w:type="dxa"/>
            <w:vAlign w:val="bottom"/>
            <w:gridSpan w:val="3"/>
          </w:tcPr>
          <w:p>
            <w:pPr>
              <w:jc w:val="right"/>
              <w:ind w:right="896"/>
              <w:spacing w:after="0"/>
              <w:rPr>
                <w:sz w:val="20"/>
                <w:szCs w:val="20"/>
                <w:color w:val="auto"/>
              </w:rPr>
            </w:pPr>
            <w:r>
              <w:rPr>
                <w:rFonts w:ascii="Arial" w:cs="Arial" w:eastAsia="Arial" w:hAnsi="Arial"/>
                <w:sz w:val="14"/>
                <w:szCs w:val="14"/>
                <w:b w:val="1"/>
                <w:bCs w:val="1"/>
                <w:color w:val="auto"/>
                <w:w w:val="74"/>
              </w:rPr>
              <w:t>thousands)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820" w:type="dxa"/>
            <w:vAlign w:val="bottom"/>
          </w:tcPr>
          <w:p>
            <w:pPr>
              <w:ind w:left="260"/>
              <w:spacing w:after="0" w:line="189" w:lineRule="exact"/>
              <w:rPr>
                <w:sz w:val="20"/>
                <w:szCs w:val="20"/>
                <w:color w:val="auto"/>
              </w:rPr>
            </w:pPr>
            <w:r>
              <w:rPr>
                <w:rFonts w:ascii="Arial" w:cs="Arial" w:eastAsia="Arial" w:hAnsi="Arial"/>
                <w:sz w:val="18"/>
                <w:szCs w:val="18"/>
                <w:color w:val="auto"/>
              </w:rPr>
              <w:t>Change in liability for warranties</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20" w:type="dxa"/>
            <w:vAlign w:val="bottom"/>
          </w:tcPr>
          <w:p>
            <w:pPr>
              <w:ind w:left="420"/>
              <w:spacing w:after="0"/>
              <w:rPr>
                <w:sz w:val="20"/>
                <w:szCs w:val="20"/>
                <w:color w:val="auto"/>
              </w:rPr>
            </w:pPr>
            <w:r>
              <w:rPr>
                <w:rFonts w:ascii="Arial" w:cs="Arial" w:eastAsia="Arial" w:hAnsi="Arial"/>
                <w:sz w:val="18"/>
                <w:szCs w:val="18"/>
                <w:color w:val="auto"/>
              </w:rPr>
              <w:t>issued in period</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8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Settlements made (in cash or in kind)</w:t>
            </w:r>
          </w:p>
        </w:tc>
        <w:tc>
          <w:tcPr>
            <w:tcW w:w="160" w:type="dxa"/>
            <w:vAlign w:val="bottom"/>
            <w:shd w:val="clear" w:color="auto" w:fill="CFF0FC"/>
          </w:tcPr>
          <w:p>
            <w:pPr>
              <w:spacing w:after="0"/>
              <w:rPr>
                <w:sz w:val="16"/>
                <w:szCs w:val="16"/>
                <w:color w:val="auto"/>
              </w:rPr>
            </w:pPr>
          </w:p>
        </w:tc>
        <w:tc>
          <w:tcPr>
            <w:tcW w:w="1420" w:type="dxa"/>
            <w:vAlign w:val="bottom"/>
            <w:gridSpan w:val="2"/>
            <w:vMerge w:val="restart"/>
            <w:shd w:val="clear" w:color="auto" w:fill="CFF0FC"/>
          </w:tcPr>
          <w:p>
            <w:pPr>
              <w:jc w:val="right"/>
              <w:ind w:right="28"/>
              <w:spacing w:after="0"/>
              <w:rPr>
                <w:sz w:val="20"/>
                <w:szCs w:val="20"/>
                <w:color w:val="auto"/>
              </w:rPr>
            </w:pPr>
            <w:r>
              <w:rPr>
                <w:rFonts w:ascii="Arial" w:cs="Arial" w:eastAsia="Arial" w:hAnsi="Arial"/>
                <w:sz w:val="18"/>
                <w:szCs w:val="18"/>
                <w:color w:val="auto"/>
              </w:rPr>
              <w:t>(1,211 )</w:t>
            </w:r>
          </w:p>
        </w:tc>
        <w:tc>
          <w:tcPr>
            <w:tcW w:w="160" w:type="dxa"/>
            <w:vAlign w:val="bottom"/>
            <w:shd w:val="clear" w:color="auto" w:fill="CFF0FC"/>
          </w:tcPr>
          <w:p>
            <w:pPr>
              <w:spacing w:after="0"/>
              <w:rPr>
                <w:sz w:val="16"/>
                <w:szCs w:val="16"/>
                <w:color w:val="auto"/>
              </w:rPr>
            </w:pPr>
          </w:p>
        </w:tc>
        <w:tc>
          <w:tcPr>
            <w:tcW w:w="13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(3,923 )</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420"/>
              <w:spacing w:after="0" w:line="203" w:lineRule="exact"/>
              <w:rPr>
                <w:sz w:val="20"/>
                <w:szCs w:val="20"/>
                <w:color w:val="auto"/>
              </w:rPr>
            </w:pPr>
            <w:r>
              <w:rPr>
                <w:rFonts w:ascii="Arial" w:cs="Arial" w:eastAsia="Arial" w:hAnsi="Arial"/>
                <w:sz w:val="18"/>
                <w:szCs w:val="18"/>
                <w:color w:val="auto"/>
              </w:rPr>
              <w:t>during the period</w:t>
            </w:r>
          </w:p>
        </w:tc>
        <w:tc>
          <w:tcPr>
            <w:tcW w:w="160" w:type="dxa"/>
            <w:vAlign w:val="bottom"/>
            <w:shd w:val="clear" w:color="auto" w:fill="CFF0FC"/>
          </w:tcPr>
          <w:p>
            <w:pPr>
              <w:spacing w:after="0"/>
              <w:rPr>
                <w:sz w:val="17"/>
                <w:szCs w:val="17"/>
                <w:color w:val="auto"/>
              </w:rPr>
            </w:pPr>
          </w:p>
        </w:tc>
        <w:tc>
          <w:tcPr>
            <w:tcW w:w="142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4,993</w:t>
            </w:r>
          </w:p>
        </w:tc>
        <w:tc>
          <w:tcPr>
            <w:tcW w:w="1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5,634</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-170815</wp:posOffset>
            </wp:positionV>
            <wp:extent cx="5143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85"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From time to time, the Company enters into satellite construction agreements as well as various other satellite-related purchase commitments, including with respect to the provision of launch services, operation of its satellites and satellite insurance. See Note 12 – Commitments to the consolidated financial statements included in the Company’s Annual Report on Form 10-K for the year ended March 31, 2022 for information regarding the Company’s future minimum payments under its satellite construction contracts and other satellite-related purchase commitments.</w:t>
      </w:r>
    </w:p>
    <w:p>
      <w:pPr>
        <w:spacing w:after="0" w:line="162"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Periodically,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5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 by the DCAA has not been concluded for fiscal years 2021 or 2022. As of September 30, 2022, the DCAA had completed its incurred cost audit for fiscal years 2004, 2016, 2019 and 2020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2020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both September 30, 2022 and March 31, 2022, the Company had $12.1 million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99"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Ordinarily, under GAAP, the Company calculates its provision for income taxes at the end of each interim reporting period on the basis of an estimated annual effective tax rate adjusted for tax items that are discrete to each period.</w:t>
      </w:r>
    </w:p>
    <w:p>
      <w:pPr>
        <w:spacing w:after="0" w:line="143"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In evaluating the Company's ability to realize the deferred tax asset for California Research and Development (R&amp;D) tax credits, the Company considered all available positive and negative evidence, including operating results and forecasted ranges of future taxable income, and determined it is more likely than not that a majority of its California R&amp;D tax credits will not be realized due to reduced taxable income apportioned to California in connection with the Link-16 TDL Sale. As a result, the Company has recorded a valuation allowance of $69.0 million. The Company will continue to monitor its business strategies, weighing positive and negative evidence in assessing its realization of this asset in the future. In the event there is a need to release the valuation allowance, a tax benefit will be recorded.</w:t>
      </w:r>
    </w:p>
    <w:p>
      <w:pPr>
        <w:spacing w:after="0" w:line="14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For the three and six months ended September 30, 2022, the Company recorded an income tax provision of $76.1 million and $52.5 million, respectively, resulting in effective tax rates of 2,236% and negative 88%, respectively. The effective tax rates for such periods differed from the U.S. statutory rate primarily due to the establishment of a valuation allowance on the deferred tax asset for California R&amp;D tax credits that was partially offset by the benefit of federal R&amp;D tax credits.</w:t>
      </w:r>
    </w:p>
    <w:p>
      <w:pPr>
        <w:spacing w:after="0" w:line="147"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auto"/>
        </w:rPr>
        <w:t>For the three and six months ended September 30, 2021, the Company recorded an income tax benefit of $9.1 million and $19.5 million, respectively, resulting in effective tax rates of 30% and 42%, respectively. The effective tax rates for such periods differed from the U.S. statutory rate primarily due to the benefit of federal R&amp;D tax credits and in the six months ended September 30, 2021, due to the reversal of a deferred tax liability recorded for EBI's outside basis difference upon assertion made during the first quarter of fiscal year 2022 to indefinitely reinvest future earnings.</w:t>
      </w:r>
    </w:p>
    <w:p>
      <w:pPr>
        <w:spacing w:after="0" w:line="145"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spacing w:after="0" w:line="147"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For the three and six months ended September 30, 2022, the Company’s gross unrecognized tax benefits increased by $6.0 million and $8.7 million, respectively, including interest and penalties of an insignificant amount, which were included as a component of the provision for income taxes. In the next 12 months it is reasonably possible that the amount of unrecognized tax benefits will not change significantly.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99" w:lineRule="exact"/>
        <w:rPr>
          <w:sz w:val="20"/>
          <w:szCs w:val="20"/>
          <w:color w:val="auto"/>
        </w:rPr>
      </w:pPr>
    </w:p>
    <w:p>
      <w:pPr>
        <w:jc w:val="both"/>
        <w:ind w:right="20" w:firstLine="509"/>
        <w:spacing w:after="0" w:line="243" w:lineRule="auto"/>
        <w:rPr>
          <w:sz w:val="20"/>
          <w:szCs w:val="20"/>
          <w:color w:val="auto"/>
        </w:rPr>
      </w:pPr>
      <w:r>
        <w:rPr>
          <w:rFonts w:ascii="Arial" w:cs="Arial" w:eastAsia="Arial" w:hAnsi="Arial"/>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residential customers, Prepaid Internet hotspot users, enterprises, commercial airlines and other mobile broadband customers. The Company’s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commercial networks segment develops and offers advanced satellite and wireless broadband platforms, ground networking equipment, radio frequency and advanced microwave solutions, Application-Specific Integrated Circuit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internet protocol-based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53"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As described in Note 1 — Basis of Presentation and Note 4 — Discontinued Operations, on October 1, 2022, the Company entered into an Asset Purchase Agreement to sell certain assets and assign certain liabilities comprising the Link-16 TDL Business to L3Harris Technologies, Inc. In accordance with ASC 205-20, the Company determined that the Link-16 TDL Business met held-for-sale and discontinued operations accounting criteria at the end of the second quarter of fiscal year 2023. Accordingly, the segment information for the periods prior to the measurement date of a discontinued operation that is part of a reportable segment is required to be restated to reflect the discontinued operation classification. Therefore, the discontinued operations have been excluded from segment results for all periods presented. Further, in accordance with the authoritative guidance for segment reporting (ASC 280-10), if the discontinued operation is part of a reportable segment but not the entire reportable segment, the restatement should include a reasonable reallocation of costs previously allocated to a discontinued operation to the remaining operating segments. Therefore, certain corporate and other indirect costs previously allocated to the Link-16 TDL Business have been allocated across all three segments for the periods presented.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revenues and operating profits (losses) for the three and six months ended September 30, 2022 and 2021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gridSpan w:val="5"/>
          </w:tcPr>
          <w:p>
            <w:pPr>
              <w:jc w:val="right"/>
              <w:ind w:right="113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6"/>
                <w:szCs w:val="16"/>
                <w:color w:val="auto"/>
              </w:rPr>
            </w:pPr>
          </w:p>
        </w:tc>
        <w:tc>
          <w:tcPr>
            <w:tcW w:w="186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September 30, 2022</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4"/>
                <w:szCs w:val="14"/>
                <w:color w:val="auto"/>
              </w:rPr>
            </w:pPr>
          </w:p>
        </w:tc>
        <w:tc>
          <w:tcPr>
            <w:tcW w:w="1540" w:type="dxa"/>
            <w:vAlign w:val="bottom"/>
            <w:tcBorders>
              <w:top w:val="single" w:sz="8" w:color="auto"/>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Borders>
              <w:top w:val="single" w:sz="8" w:color="auto"/>
            </w:tcBorders>
          </w:tcPr>
          <w:p>
            <w:pPr>
              <w:spacing w:after="0"/>
              <w:rPr>
                <w:sz w:val="14"/>
                <w:szCs w:val="14"/>
                <w:color w:val="auto"/>
              </w:rPr>
            </w:pPr>
          </w:p>
        </w:tc>
        <w:tc>
          <w:tcPr>
            <w:tcW w:w="158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3"/>
          </w:tcPr>
          <w:p>
            <w:pPr>
              <w:jc w:val="right"/>
              <w:ind w:right="114"/>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80"/>
              <w:spacing w:after="0"/>
              <w:rPr>
                <w:sz w:val="20"/>
                <w:szCs w:val="20"/>
                <w:color w:val="auto"/>
              </w:rPr>
            </w:pPr>
            <w:r>
              <w:rPr>
                <w:rFonts w:ascii="Arial" w:cs="Arial" w:eastAsia="Arial" w:hAnsi="Arial"/>
                <w:sz w:val="18"/>
                <w:szCs w:val="18"/>
                <w:color w:val="auto"/>
              </w:rPr>
              <w:t>Satellite services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Product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334"/>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434"/>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520"/>
              <w:spacing w:after="0"/>
              <w:rPr>
                <w:sz w:val="20"/>
                <w:szCs w:val="20"/>
                <w:color w:val="auto"/>
              </w:rPr>
            </w:pPr>
            <w:r>
              <w:rPr>
                <w:rFonts w:ascii="Arial" w:cs="Arial" w:eastAsia="Arial" w:hAnsi="Arial"/>
                <w:sz w:val="18"/>
                <w:szCs w:val="18"/>
                <w:color w:val="auto"/>
              </w:rPr>
              <w:t>Service</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300,547</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300,110</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612,647</w:t>
            </w:r>
          </w:p>
        </w:tc>
        <w:tc>
          <w:tcPr>
            <w:tcW w:w="2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300,547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300,110</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612,647</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574,227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80"/>
              <w:spacing w:after="0"/>
              <w:rPr>
                <w:sz w:val="20"/>
                <w:szCs w:val="20"/>
                <w:color w:val="auto"/>
              </w:rPr>
            </w:pPr>
            <w:r>
              <w:rPr>
                <w:rFonts w:ascii="Arial" w:cs="Arial" w:eastAsia="Arial" w:hAnsi="Arial"/>
                <w:sz w:val="18"/>
                <w:szCs w:val="18"/>
                <w:color w:val="auto"/>
              </w:rPr>
              <w:t>Commercial networks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Product</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159,831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118,935</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253,406</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520"/>
              <w:spacing w:after="0"/>
              <w:rPr>
                <w:sz w:val="20"/>
                <w:szCs w:val="20"/>
                <w:color w:val="auto"/>
              </w:rPr>
            </w:pPr>
            <w:r>
              <w:rPr>
                <w:rFonts w:ascii="Arial" w:cs="Arial" w:eastAsia="Arial" w:hAnsi="Arial"/>
                <w:sz w:val="18"/>
                <w:szCs w:val="18"/>
                <w:color w:val="auto"/>
              </w:rPr>
              <w:t>Service</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20,196</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15,871</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39,405</w:t>
            </w:r>
          </w:p>
        </w:tc>
        <w:tc>
          <w:tcPr>
            <w:tcW w:w="2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180,027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134,806</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292,811</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80"/>
              <w:spacing w:after="0"/>
              <w:rPr>
                <w:sz w:val="20"/>
                <w:szCs w:val="20"/>
                <w:color w:val="auto"/>
              </w:rPr>
            </w:pPr>
            <w:r>
              <w:rPr>
                <w:rFonts w:ascii="Arial" w:cs="Arial" w:eastAsia="Arial" w:hAnsi="Arial"/>
                <w:sz w:val="18"/>
                <w:szCs w:val="18"/>
                <w:color w:val="auto"/>
              </w:rPr>
              <w:t>Government systems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Product</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95,030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102,120</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170,700</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520"/>
              <w:spacing w:after="0"/>
              <w:rPr>
                <w:sz w:val="20"/>
                <w:szCs w:val="20"/>
                <w:color w:val="auto"/>
              </w:rPr>
            </w:pPr>
            <w:r>
              <w:rPr>
                <w:rFonts w:ascii="Arial" w:cs="Arial" w:eastAsia="Arial" w:hAnsi="Arial"/>
                <w:sz w:val="18"/>
                <w:szCs w:val="18"/>
                <w:color w:val="auto"/>
              </w:rPr>
              <w:t>Service</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81,079</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72,121</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151,959</w:t>
            </w:r>
          </w:p>
        </w:tc>
        <w:tc>
          <w:tcPr>
            <w:tcW w:w="2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176,109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174,241</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322,659</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352,308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80"/>
              <w:spacing w:after="0"/>
              <w:rPr>
                <w:sz w:val="20"/>
                <w:szCs w:val="20"/>
                <w:color w:val="auto"/>
              </w:rPr>
            </w:pPr>
            <w:r>
              <w:rPr>
                <w:rFonts w:ascii="Arial" w:cs="Arial" w:eastAsia="Arial" w:hAnsi="Arial"/>
                <w:sz w:val="18"/>
                <w:szCs w:val="18"/>
                <w:color w:val="auto"/>
              </w:rPr>
              <w:t>Elimination of intersegment revenues</w:t>
            </w:r>
          </w:p>
        </w:tc>
        <w:tc>
          <w:tcPr>
            <w:tcW w:w="12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656,683</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609,157</w:t>
            </w:r>
          </w:p>
        </w:tc>
        <w:tc>
          <w:tcPr>
            <w:tcW w:w="2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ind w:right="334"/>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1,228,117</w:t>
            </w:r>
          </w:p>
        </w:tc>
        <w:tc>
          <w:tcPr>
            <w:tcW w:w="2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top w:val="single" w:sz="8" w:color="auto"/>
              <w:bottom w:val="single" w:sz="8" w:color="auto"/>
            </w:tcBorders>
            <w:shd w:val="clear" w:color="auto" w:fill="CFF0FC"/>
          </w:tcPr>
          <w:p>
            <w:pPr>
              <w:jc w:val="right"/>
              <w:ind w:right="43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1,179,937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profits (losses):</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80"/>
              <w:spacing w:after="0"/>
              <w:rPr>
                <w:sz w:val="20"/>
                <w:szCs w:val="20"/>
                <w:color w:val="auto"/>
              </w:rPr>
            </w:pPr>
            <w:r>
              <w:rPr>
                <w:rFonts w:ascii="Arial" w:cs="Arial" w:eastAsia="Arial" w:hAnsi="Arial"/>
                <w:sz w:val="18"/>
                <w:szCs w:val="18"/>
                <w:color w:val="auto"/>
              </w:rPr>
              <w:t>Satellite services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(6,066 )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14,313</w:t>
            </w:r>
          </w:p>
        </w:tc>
        <w:tc>
          <w:tcPr>
            <w:tcW w:w="220" w:type="dxa"/>
            <w:vAlign w:val="bottom"/>
          </w:tcPr>
          <w:p>
            <w:pPr>
              <w:spacing w:after="0"/>
              <w:rPr>
                <w:sz w:val="18"/>
                <w:szCs w:val="18"/>
                <w:color w:val="auto"/>
              </w:rPr>
            </w:pPr>
          </w:p>
        </w:tc>
        <w:tc>
          <w:tcPr>
            <w:tcW w:w="540" w:type="dxa"/>
            <w:vAlign w:val="bottom"/>
          </w:tcPr>
          <w:p>
            <w:pPr>
              <w:jc w:val="right"/>
              <w:ind w:right="334"/>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(4,721 )</w:t>
            </w:r>
          </w:p>
        </w:tc>
        <w:tc>
          <w:tcPr>
            <w:tcW w:w="640" w:type="dxa"/>
            <w:vAlign w:val="bottom"/>
          </w:tcPr>
          <w:p>
            <w:pPr>
              <w:jc w:val="right"/>
              <w:ind w:right="43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Commercial networks</w:t>
            </w: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(796 )</w:t>
            </w: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(52,012 )</w:t>
            </w:r>
          </w:p>
        </w:tc>
        <w:tc>
          <w:tcPr>
            <w:tcW w:w="5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(50,176 )</w:t>
            </w:r>
          </w:p>
        </w:tc>
        <w:tc>
          <w:tcPr>
            <w:tcW w:w="6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(96,113 )</w:t>
            </w:r>
          </w:p>
        </w:tc>
        <w:tc>
          <w:tcPr>
            <w:tcW w:w="0" w:type="dxa"/>
            <w:vAlign w:val="bottom"/>
          </w:tcPr>
          <w:p>
            <w:pPr>
              <w:spacing w:after="0"/>
              <w:rPr>
                <w:sz w:val="1"/>
                <w:szCs w:val="1"/>
                <w:color w:val="auto"/>
              </w:rPr>
            </w:pPr>
          </w:p>
        </w:tc>
      </w:tr>
      <w:tr>
        <w:trPr>
          <w:trHeight w:val="216"/>
        </w:trPr>
        <w:tc>
          <w:tcPr>
            <w:tcW w:w="4160" w:type="dxa"/>
            <w:vAlign w:val="bottom"/>
          </w:tcPr>
          <w:p>
            <w:pPr>
              <w:ind w:left="280"/>
              <w:spacing w:after="0"/>
              <w:rPr>
                <w:sz w:val="20"/>
                <w:szCs w:val="20"/>
                <w:color w:val="auto"/>
              </w:rPr>
            </w:pPr>
            <w:r>
              <w:rPr>
                <w:rFonts w:ascii="Arial" w:cs="Arial" w:eastAsia="Arial" w:hAnsi="Arial"/>
                <w:sz w:val="18"/>
                <w:szCs w:val="18"/>
                <w:color w:val="auto"/>
              </w:rPr>
              <w:t>Government systems</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15,385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20,680</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12,436</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160" w:type="dxa"/>
            <w:vAlign w:val="bottom"/>
            <w:shd w:val="clear" w:color="auto" w:fill="CFF0FC"/>
          </w:tcPr>
          <w:p>
            <w:pPr>
              <w:ind w:left="280"/>
              <w:spacing w:after="0" w:line="189" w:lineRule="exact"/>
              <w:rPr>
                <w:sz w:val="20"/>
                <w:szCs w:val="20"/>
                <w:color w:val="auto"/>
              </w:rPr>
            </w:pPr>
            <w:r>
              <w:rPr>
                <w:rFonts w:ascii="Arial" w:cs="Arial" w:eastAsia="Arial" w:hAnsi="Arial"/>
                <w:sz w:val="18"/>
                <w:szCs w:val="18"/>
                <w:color w:val="auto"/>
              </w:rPr>
              <w:t>Elimination of intersegment operating</w:t>
            </w:r>
          </w:p>
        </w:tc>
        <w:tc>
          <w:tcPr>
            <w:tcW w:w="120" w:type="dxa"/>
            <w:vAlign w:val="bottom"/>
            <w:shd w:val="clear" w:color="auto" w:fill="CFF0FC"/>
          </w:tcPr>
          <w:p>
            <w:pPr>
              <w:spacing w:after="0"/>
              <w:rPr>
                <w:sz w:val="16"/>
                <w:szCs w:val="16"/>
                <w:color w:val="auto"/>
              </w:rPr>
            </w:pPr>
          </w:p>
        </w:tc>
        <w:tc>
          <w:tcPr>
            <w:tcW w:w="17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6"/>
                <w:szCs w:val="16"/>
                <w:color w:val="auto"/>
              </w:rPr>
            </w:pPr>
          </w:p>
        </w:tc>
        <w:tc>
          <w:tcPr>
            <w:tcW w:w="1700" w:type="dxa"/>
            <w:vAlign w:val="bottom"/>
            <w:gridSpan w:val="2"/>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6"/>
                <w:szCs w:val="16"/>
                <w:color w:val="auto"/>
              </w:rPr>
            </w:pPr>
          </w:p>
        </w:tc>
        <w:tc>
          <w:tcPr>
            <w:tcW w:w="1220" w:type="dxa"/>
            <w:vAlign w:val="bottom"/>
            <w:gridSpan w:val="2"/>
            <w:vMerge w:val="restart"/>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6"/>
                <w:szCs w:val="16"/>
                <w:color w:val="auto"/>
              </w:rPr>
            </w:pPr>
          </w:p>
        </w:tc>
        <w:tc>
          <w:tcPr>
            <w:tcW w:w="1040" w:type="dxa"/>
            <w:vAlign w:val="bottom"/>
            <w:gridSpan w:val="2"/>
            <w:vMerge w:val="restart"/>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ind w:left="420"/>
              <w:spacing w:after="0" w:line="203" w:lineRule="exact"/>
              <w:rPr>
                <w:sz w:val="20"/>
                <w:szCs w:val="20"/>
                <w:color w:val="auto"/>
              </w:rPr>
            </w:pPr>
            <w:r>
              <w:rPr>
                <w:rFonts w:ascii="Arial" w:cs="Arial" w:eastAsia="Arial" w:hAnsi="Arial"/>
                <w:sz w:val="18"/>
                <w:szCs w:val="18"/>
                <w:color w:val="auto"/>
              </w:rPr>
              <w:t>profits (loss)</w:t>
            </w:r>
          </w:p>
        </w:tc>
        <w:tc>
          <w:tcPr>
            <w:tcW w:w="120" w:type="dxa"/>
            <w:vAlign w:val="bottom"/>
            <w:shd w:val="clear" w:color="auto" w:fill="CFF0FC"/>
          </w:tcPr>
          <w:p>
            <w:pPr>
              <w:spacing w:after="0"/>
              <w:rPr>
                <w:sz w:val="17"/>
                <w:szCs w:val="17"/>
                <w:color w:val="auto"/>
              </w:rPr>
            </w:pPr>
          </w:p>
        </w:tc>
        <w:tc>
          <w:tcPr>
            <w:tcW w:w="170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00" w:type="dxa"/>
            <w:vAlign w:val="bottom"/>
            <w:gridSpan w:val="2"/>
            <w:vMerge w:val="continue"/>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20" w:type="dxa"/>
            <w:vAlign w:val="bottom"/>
            <w:gridSpan w:val="2"/>
            <w:vMerge w:val="continue"/>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16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Segment operating profit (loss) before corporate</w:t>
            </w:r>
          </w:p>
        </w:tc>
        <w:tc>
          <w:tcPr>
            <w:tcW w:w="1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180"/>
              <w:spacing w:after="0" w:line="189" w:lineRule="exact"/>
              <w:rPr>
                <w:sz w:val="20"/>
                <w:szCs w:val="20"/>
                <w:color w:val="auto"/>
              </w:rPr>
            </w:pPr>
            <w:r>
              <w:rPr>
                <w:rFonts w:ascii="Arial" w:cs="Arial" w:eastAsia="Arial" w:hAnsi="Arial"/>
                <w:sz w:val="18"/>
                <w:szCs w:val="18"/>
                <w:color w:val="auto"/>
              </w:rPr>
              <w:t>and amortization of acquired intangible</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60" w:type="dxa"/>
            <w:vAlign w:val="bottom"/>
          </w:tcPr>
          <w:p>
            <w:pPr>
              <w:ind w:left="18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8,523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50"/>
              <w:spacing w:after="0"/>
              <w:rPr>
                <w:sz w:val="20"/>
                <w:szCs w:val="20"/>
                <w:color w:val="auto"/>
              </w:rPr>
            </w:pPr>
            <w:r>
              <w:rPr>
                <w:rFonts w:ascii="Arial" w:cs="Arial" w:eastAsia="Arial" w:hAnsi="Arial"/>
                <w:sz w:val="18"/>
                <w:szCs w:val="18"/>
                <w:color w:val="auto"/>
              </w:rPr>
              <w:t>(17,019 )</w:t>
            </w:r>
          </w:p>
        </w:tc>
        <w:tc>
          <w:tcPr>
            <w:tcW w:w="54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(42,461 )</w:t>
            </w:r>
          </w:p>
        </w:tc>
        <w:tc>
          <w:tcPr>
            <w:tcW w:w="6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(25,355 )</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Corporate</w:t>
            </w: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60" w:type="dxa"/>
            <w:vAlign w:val="bottom"/>
          </w:tcPr>
          <w:p>
            <w:pPr>
              <w:ind w:left="280"/>
              <w:spacing w:after="0" w:line="189" w:lineRule="exact"/>
              <w:rPr>
                <w:sz w:val="20"/>
                <w:szCs w:val="20"/>
                <w:color w:val="auto"/>
              </w:rPr>
            </w:pPr>
            <w:r>
              <w:rPr>
                <w:rFonts w:ascii="Arial" w:cs="Arial" w:eastAsia="Arial" w:hAnsi="Arial"/>
                <w:sz w:val="18"/>
                <w:szCs w:val="18"/>
                <w:color w:val="auto"/>
              </w:rPr>
              <w:t>Amortization of acquired intangible</w:t>
            </w:r>
          </w:p>
        </w:tc>
        <w:tc>
          <w:tcPr>
            <w:tcW w:w="120" w:type="dxa"/>
            <w:vAlign w:val="bottom"/>
          </w:tcPr>
          <w:p>
            <w:pPr>
              <w:spacing w:after="0"/>
              <w:rPr>
                <w:sz w:val="16"/>
                <w:szCs w:val="16"/>
                <w:color w:val="auto"/>
              </w:rPr>
            </w:pPr>
          </w:p>
        </w:tc>
        <w:tc>
          <w:tcPr>
            <w:tcW w:w="1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(7,379 )</w:t>
            </w:r>
          </w:p>
        </w:tc>
        <w:tc>
          <w:tcPr>
            <w:tcW w:w="120" w:type="dxa"/>
            <w:vAlign w:val="bottom"/>
          </w:tcPr>
          <w:p>
            <w:pPr>
              <w:spacing w:after="0"/>
              <w:rPr>
                <w:sz w:val="16"/>
                <w:szCs w:val="16"/>
                <w:color w:val="auto"/>
              </w:rPr>
            </w:pPr>
          </w:p>
        </w:tc>
        <w:tc>
          <w:tcPr>
            <w:tcW w:w="170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(7,399 )</w:t>
            </w:r>
          </w:p>
        </w:tc>
        <w:tc>
          <w:tcPr>
            <w:tcW w:w="540" w:type="dxa"/>
            <w:vAlign w:val="bottom"/>
          </w:tcPr>
          <w:p>
            <w:pPr>
              <w:spacing w:after="0"/>
              <w:rPr>
                <w:sz w:val="16"/>
                <w:szCs w:val="16"/>
                <w:color w:val="auto"/>
              </w:rPr>
            </w:pPr>
          </w:p>
        </w:tc>
        <w:tc>
          <w:tcPr>
            <w:tcW w:w="12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(14,902 )</w:t>
            </w:r>
          </w:p>
        </w:tc>
        <w:tc>
          <w:tcPr>
            <w:tcW w:w="640" w:type="dxa"/>
            <w:vAlign w:val="bottom"/>
          </w:tcPr>
          <w:p>
            <w:pPr>
              <w:spacing w:after="0"/>
              <w:rPr>
                <w:sz w:val="16"/>
                <w:szCs w:val="16"/>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(13,328 )</w:t>
            </w:r>
          </w:p>
        </w:tc>
        <w:tc>
          <w:tcPr>
            <w:tcW w:w="0" w:type="dxa"/>
            <w:vAlign w:val="bottom"/>
          </w:tcPr>
          <w:p>
            <w:pPr>
              <w:spacing w:after="0"/>
              <w:rPr>
                <w:sz w:val="1"/>
                <w:szCs w:val="1"/>
                <w:color w:val="auto"/>
              </w:rPr>
            </w:pPr>
          </w:p>
        </w:tc>
      </w:tr>
      <w:tr>
        <w:trPr>
          <w:trHeight w:val="203"/>
        </w:trPr>
        <w:tc>
          <w:tcPr>
            <w:tcW w:w="4160" w:type="dxa"/>
            <w:vAlign w:val="bottom"/>
          </w:tcPr>
          <w:p>
            <w:pPr>
              <w:ind w:left="420"/>
              <w:spacing w:after="0" w:line="203" w:lineRule="exact"/>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(24,418</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FF0FC"/>
          </w:tcPr>
          <w:p>
            <w:pPr>
              <w:jc w:val="right"/>
              <w:ind w:right="334"/>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(57,363</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FF0FC"/>
          </w:tcPr>
          <w:p>
            <w:pPr>
              <w:jc w:val="right"/>
              <w:ind w:right="43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(38,683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-1902460</wp:posOffset>
            </wp:positionV>
            <wp:extent cx="3488690"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88690" cy="16319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-942340</wp:posOffset>
            </wp:positionV>
            <wp:extent cx="77470" cy="3854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3854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-942340</wp:posOffset>
            </wp:positionV>
            <wp:extent cx="68580" cy="3854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-942340</wp:posOffset>
            </wp:positionV>
            <wp:extent cx="68580" cy="3854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3854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-24765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September 30, 2022 and March 31, 2022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374"/>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March 31, 2022</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4"/>
          </w:tcPr>
          <w:p>
            <w:pPr>
              <w:jc w:val="right"/>
              <w:ind w:right="914"/>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2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60" w:type="dxa"/>
            <w:vAlign w:val="bottom"/>
          </w:tcPr>
          <w:p>
            <w:pPr>
              <w:ind w:left="260"/>
              <w:spacing w:after="0"/>
              <w:rPr>
                <w:sz w:val="20"/>
                <w:szCs w:val="20"/>
                <w:color w:val="auto"/>
              </w:rPr>
            </w:pPr>
            <w:r>
              <w:rPr>
                <w:rFonts w:ascii="Arial" w:cs="Arial" w:eastAsia="Arial" w:hAnsi="Arial"/>
                <w:sz w:val="18"/>
                <w:szCs w:val="18"/>
                <w:color w:val="auto"/>
              </w:rPr>
              <w:t>Satellite services</w:t>
            </w:r>
          </w:p>
        </w:tc>
        <w:tc>
          <w:tcPr>
            <w:tcW w:w="26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411,774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444,976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networks</w:t>
            </w:r>
          </w:p>
        </w:tc>
        <w:tc>
          <w:tcPr>
            <w:tcW w:w="2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259,646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202,941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60" w:type="dxa"/>
            <w:vAlign w:val="bottom"/>
          </w:tcPr>
          <w:p>
            <w:pPr>
              <w:ind w:left="260"/>
              <w:spacing w:after="0"/>
              <w:rPr>
                <w:sz w:val="20"/>
                <w:szCs w:val="20"/>
                <w:color w:val="auto"/>
              </w:rPr>
            </w:pPr>
            <w:r>
              <w:rPr>
                <w:rFonts w:ascii="Arial" w:cs="Arial" w:eastAsia="Arial" w:hAnsi="Arial"/>
                <w:sz w:val="18"/>
                <w:szCs w:val="18"/>
                <w:color w:val="auto"/>
              </w:rPr>
              <w:t>Government systems</w:t>
            </w:r>
          </w:p>
        </w:tc>
        <w:tc>
          <w:tcPr>
            <w:tcW w:w="2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265,801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266,641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segment assets</w:t>
            </w:r>
          </w:p>
        </w:tc>
        <w:tc>
          <w:tcPr>
            <w:tcW w:w="2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937,221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914,558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60" w:type="dxa"/>
            <w:vAlign w:val="bottom"/>
          </w:tcPr>
          <w:p>
            <w:pPr>
              <w:ind w:left="260"/>
              <w:spacing w:after="0"/>
              <w:rPr>
                <w:sz w:val="20"/>
                <w:szCs w:val="20"/>
                <w:color w:val="auto"/>
              </w:rPr>
            </w:pPr>
            <w:r>
              <w:rPr>
                <w:rFonts w:ascii="Arial" w:cs="Arial" w:eastAsia="Arial" w:hAnsi="Arial"/>
                <w:sz w:val="18"/>
                <w:szCs w:val="18"/>
                <w:color w:val="auto"/>
              </w:rPr>
              <w:t>Corporate assets</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5,287,810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5,199,686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Assets of discontinued operations</w:t>
            </w:r>
          </w:p>
        </w:tc>
        <w:tc>
          <w:tcPr>
            <w:tcW w:w="2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285,249</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275,102</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 assets</w:t>
            </w:r>
          </w:p>
        </w:tc>
        <w:tc>
          <w:tcPr>
            <w:tcW w:w="26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6,510,280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6,389,346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80" w:type="dxa"/>
            <w:vAlign w:val="bottom"/>
            <w:vMerge w:val="restart"/>
          </w:tcPr>
          <w:p>
            <w:pPr>
              <w:jc w:val="right"/>
              <w:ind w:right="1270"/>
              <w:spacing w:after="0"/>
              <w:rPr>
                <w:sz w:val="20"/>
                <w:szCs w:val="20"/>
                <w:color w:val="auto"/>
              </w:rPr>
            </w:pPr>
            <w:r>
              <w:rPr>
                <w:rFonts w:ascii="Arial" w:cs="Arial" w:eastAsia="Arial" w:hAnsi="Arial"/>
                <w:sz w:val="18"/>
                <w:szCs w:val="18"/>
                <w:color w:val="auto"/>
              </w:rPr>
              <w:t>35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66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-659130</wp:posOffset>
            </wp:positionV>
            <wp:extent cx="51435"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-659130</wp:posOffset>
            </wp:positionV>
            <wp:extent cx="51435"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Other acquired intangible assets, net and goodwill included in segment assets as of September 30, 2022 and March 31, 2022 were as follows:</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558"/>
              <w:spacing w:after="0"/>
              <w:rPr>
                <w:sz w:val="20"/>
                <w:szCs w:val="20"/>
                <w:color w:val="auto"/>
              </w:rPr>
            </w:pPr>
            <w:r>
              <w:rPr>
                <w:rFonts w:ascii="Arial" w:cs="Arial" w:eastAsia="Arial" w:hAnsi="Arial"/>
                <w:sz w:val="14"/>
                <w:szCs w:val="14"/>
                <w:b w:val="1"/>
                <w:bCs w:val="1"/>
                <w:color w:val="auto"/>
              </w:rPr>
              <w:t>Other Acquired Intangible</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Goodwill</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1058"/>
              <w:spacing w:after="0"/>
              <w:rPr>
                <w:sz w:val="20"/>
                <w:szCs w:val="20"/>
                <w:color w:val="auto"/>
              </w:rPr>
            </w:pPr>
            <w:r>
              <w:rPr>
                <w:rFonts w:ascii="Arial" w:cs="Arial" w:eastAsia="Arial" w:hAnsi="Arial"/>
                <w:sz w:val="14"/>
                <w:szCs w:val="14"/>
                <w:b w:val="1"/>
                <w:bCs w:val="1"/>
                <w:color w:val="auto"/>
              </w:rPr>
              <w:t>Assets, Net</w:t>
            </w:r>
          </w:p>
        </w:tc>
        <w:tc>
          <w:tcPr>
            <w:tcW w:w="2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478"/>
              <w:spacing w:after="0" w:line="129"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right"/>
              <w:ind w:right="398"/>
              <w:spacing w:after="0" w:line="129" w:lineRule="exact"/>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jc w:val="right"/>
              <w:ind w:right="476"/>
              <w:spacing w:after="0" w:line="129" w:lineRule="exact"/>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396"/>
              <w:spacing w:after="0" w:line="129" w:lineRule="exact"/>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3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209,599</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233,740</w:t>
            </w:r>
          </w:p>
        </w:tc>
        <w:tc>
          <w:tcPr>
            <w:tcW w:w="66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76,187</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Commercial networks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43,945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1,674</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2,303</w:t>
            </w:r>
          </w:p>
        </w:tc>
        <w:tc>
          <w:tcPr>
            <w:tcW w:w="2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41,871</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42,688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211,273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236,043</w:t>
            </w:r>
          </w:p>
        </w:tc>
        <w:tc>
          <w:tcPr>
            <w:tcW w:w="66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162,003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168,710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-170815</wp:posOffset>
            </wp:positionV>
            <wp:extent cx="6858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-170815</wp:posOffset>
            </wp:positionV>
            <wp:extent cx="6858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60325"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82" w:lineRule="exact"/>
        <w:rPr>
          <w:sz w:val="20"/>
          <w:szCs w:val="20"/>
          <w:color w:val="auto"/>
        </w:rPr>
      </w:pPr>
    </w:p>
    <w:p>
      <w:pPr>
        <w:ind w:right="420" w:firstLine="509"/>
        <w:spacing w:after="0" w:line="246" w:lineRule="auto"/>
        <w:rPr>
          <w:sz w:val="20"/>
          <w:szCs w:val="20"/>
          <w:color w:val="auto"/>
        </w:rPr>
      </w:pPr>
      <w:r>
        <w:rPr>
          <w:rFonts w:ascii="Arial" w:cs="Arial" w:eastAsia="Arial" w:hAnsi="Arial"/>
          <w:sz w:val="18"/>
          <w:szCs w:val="18"/>
          <w:color w:val="auto"/>
        </w:rPr>
        <w:t>Amortization of acquired intangible assets by segment for the three and six months ended September 30, 2022 and 2021 was as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Pr>
          <w:p>
            <w:pPr>
              <w:spacing w:after="0"/>
              <w:rPr>
                <w:sz w:val="12"/>
                <w:szCs w:val="12"/>
                <w:color w:val="auto"/>
              </w:rPr>
            </w:pPr>
          </w:p>
        </w:tc>
        <w:tc>
          <w:tcPr>
            <w:tcW w:w="152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ind w:right="138"/>
              <w:spacing w:after="0" w:line="14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142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Borders>
              <w:bottom w:val="single" w:sz="8" w:color="auto"/>
            </w:tcBorders>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152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40" w:type="dxa"/>
            <w:vAlign w:val="bottom"/>
            <w:gridSpan w:val="4"/>
          </w:tcPr>
          <w:p>
            <w:pPr>
              <w:jc w:val="right"/>
              <w:ind w:right="938"/>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7,088</w:t>
            </w:r>
          </w:p>
        </w:tc>
        <w:tc>
          <w:tcPr>
            <w:tcW w:w="106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7,097</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14,316</w:t>
            </w:r>
          </w:p>
        </w:tc>
        <w:tc>
          <w:tcPr>
            <w:tcW w:w="960" w:type="dxa"/>
            <w:vAlign w:val="bottom"/>
            <w:gridSpan w:val="2"/>
            <w:shd w:val="clear" w:color="auto" w:fill="CFF0FC"/>
          </w:tcPr>
          <w:p>
            <w:pPr>
              <w:jc w:val="right"/>
              <w:ind w:right="588"/>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Commercial networks</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5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1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580" w:type="dxa"/>
            <w:vAlign w:val="bottom"/>
          </w:tcPr>
          <w:p>
            <w:pPr>
              <w:spacing w:after="0" w:line="182" w:lineRule="exact"/>
              <w:rPr>
                <w:sz w:val="20"/>
                <w:szCs w:val="20"/>
                <w:color w:val="auto"/>
              </w:rPr>
            </w:pPr>
            <w:r>
              <w:rPr>
                <w:rFonts w:ascii="Arial" w:cs="Arial" w:eastAsia="Arial" w:hAnsi="Arial"/>
                <w:sz w:val="18"/>
                <w:szCs w:val="18"/>
                <w:color w:val="auto"/>
              </w:rPr>
              <w:t>Total amortization of acquired</w:t>
            </w:r>
          </w:p>
        </w:tc>
        <w:tc>
          <w:tcPr>
            <w:tcW w:w="5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7,379</w:t>
            </w:r>
          </w:p>
        </w:tc>
        <w:tc>
          <w:tcPr>
            <w:tcW w:w="1060" w:type="dxa"/>
            <w:vAlign w:val="bottom"/>
            <w:gridSpan w:val="2"/>
            <w:vMerge w:val="restart"/>
          </w:tcPr>
          <w:p>
            <w:pPr>
              <w:jc w:val="right"/>
              <w:ind w:right="648"/>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7,399</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14,902</w:t>
            </w:r>
          </w:p>
        </w:tc>
        <w:tc>
          <w:tcPr>
            <w:tcW w:w="960" w:type="dxa"/>
            <w:vAlign w:val="bottom"/>
            <w:gridSpan w:val="2"/>
            <w:vMerge w:val="restart"/>
          </w:tcPr>
          <w:p>
            <w:pPr>
              <w:jc w:val="right"/>
              <w:ind w:right="588"/>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13,328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160"/>
              <w:spacing w:after="0" w:line="176" w:lineRule="exact"/>
              <w:rPr>
                <w:sz w:val="20"/>
                <w:szCs w:val="20"/>
                <w:color w:val="auto"/>
              </w:rPr>
            </w:pPr>
            <w:r>
              <w:rPr>
                <w:rFonts w:ascii="Arial" w:cs="Arial" w:eastAsia="Arial" w:hAnsi="Arial"/>
                <w:sz w:val="18"/>
                <w:szCs w:val="18"/>
                <w:color w:val="auto"/>
              </w:rPr>
              <w:t>intangible assets</w:t>
            </w:r>
          </w:p>
        </w:tc>
        <w:tc>
          <w:tcPr>
            <w:tcW w:w="5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-264795</wp:posOffset>
            </wp:positionV>
            <wp:extent cx="68580" cy="2654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-264795</wp:posOffset>
            </wp:positionV>
            <wp:extent cx="68580" cy="2654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-264795</wp:posOffset>
            </wp:positionV>
            <wp:extent cx="60325" cy="2654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-264795</wp:posOffset>
            </wp:positionV>
            <wp:extent cx="60325" cy="2654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265430"/>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for the three and six months ended September 30, 2022 and 2021 were as follows: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ind w:right="119"/>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right"/>
              <w:ind w:right="197"/>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89"/>
        </w:trPr>
        <w:tc>
          <w:tcPr>
            <w:tcW w:w="6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September 30, 2022</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6"/>
                <w:szCs w:val="16"/>
                <w:color w:val="auto"/>
              </w:rPr>
            </w:pPr>
          </w:p>
        </w:tc>
      </w:tr>
      <w:tr>
        <w:trPr>
          <w:trHeight w:val="169"/>
        </w:trPr>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119"/>
              <w:spacing w:after="0"/>
              <w:rPr>
                <w:sz w:val="20"/>
                <w:szCs w:val="20"/>
                <w:color w:val="auto"/>
              </w:rPr>
            </w:pPr>
            <w:r>
              <w:rPr>
                <w:rFonts w:ascii="Arial" w:cs="Arial" w:eastAsia="Arial" w:hAnsi="Arial"/>
                <w:sz w:val="14"/>
                <w:szCs w:val="14"/>
                <w:b w:val="1"/>
                <w:bCs w:val="1"/>
                <w:color w:val="auto"/>
              </w:rPr>
              <w:t>(In</w:t>
            </w:r>
          </w:p>
        </w:tc>
        <w:tc>
          <w:tcPr>
            <w:tcW w:w="2060" w:type="dxa"/>
            <w:vAlign w:val="bottom"/>
            <w:gridSpan w:val="3"/>
          </w:tcPr>
          <w:p>
            <w:pPr>
              <w:jc w:val="center"/>
              <w:ind w:right="1357"/>
              <w:spacing w:after="0"/>
              <w:rPr>
                <w:sz w:val="20"/>
                <w:szCs w:val="20"/>
                <w:color w:val="auto"/>
              </w:rPr>
            </w:pPr>
            <w:r>
              <w:rPr>
                <w:rFonts w:ascii="Arial" w:cs="Arial" w:eastAsia="Arial" w:hAnsi="Arial"/>
                <w:sz w:val="14"/>
                <w:szCs w:val="14"/>
                <w:b w:val="1"/>
                <w:bCs w:val="1"/>
                <w:color w:val="auto"/>
                <w:w w:val="82"/>
              </w:rPr>
              <w:t>thousands)</w:t>
            </w:r>
          </w:p>
        </w:tc>
        <w:tc>
          <w:tcPr>
            <w:tcW w:w="100" w:type="dxa"/>
            <w:vAlign w:val="bottom"/>
          </w:tcPr>
          <w:p>
            <w:pPr>
              <w:spacing w:after="0"/>
              <w:rPr>
                <w:sz w:val="14"/>
                <w:szCs w:val="14"/>
                <w:color w:val="auto"/>
              </w:rPr>
            </w:pPr>
          </w:p>
        </w:tc>
      </w:tr>
      <w:tr>
        <w:trPr>
          <w:trHeight w:val="216"/>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557,457</w:t>
            </w:r>
          </w:p>
        </w:tc>
        <w:tc>
          <w:tcPr>
            <w:tcW w:w="420" w:type="dxa"/>
            <w:vAlign w:val="bottom"/>
            <w:gridSpan w:val="2"/>
            <w:shd w:val="clear" w:color="auto" w:fill="CFF0FC"/>
          </w:tcPr>
          <w:p>
            <w:pPr>
              <w:jc w:val="center"/>
              <w:ind w:left="119"/>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1,037,485</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Non-U.S. customers (each country individually insignificant)</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99,226</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190,632</w:t>
            </w:r>
          </w:p>
        </w:tc>
        <w:tc>
          <w:tcPr>
            <w:tcW w:w="100" w:type="dxa"/>
            <w:vAlign w:val="bottom"/>
          </w:tcPr>
          <w:p>
            <w:pPr>
              <w:spacing w:after="0"/>
              <w:rPr>
                <w:sz w:val="18"/>
                <w:szCs w:val="18"/>
                <w:color w:val="auto"/>
              </w:rPr>
            </w:pPr>
          </w:p>
        </w:tc>
      </w:tr>
      <w:tr>
        <w:trPr>
          <w:trHeight w:val="249"/>
        </w:trPr>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656,683</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1,228,117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-25400</wp:posOffset>
            </wp:positionV>
            <wp:extent cx="1363345" cy="5060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63345" cy="50609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p>
      <w:pPr>
        <w:spacing w:after="0" w:line="203"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auto"/>
        </w:rPr>
        <w:t>Three Months Ended</w:t>
      </w:r>
    </w:p>
    <w:p>
      <w:pPr>
        <w:spacing w:after="0" w:line="29" w:lineRule="exact"/>
        <w:rPr>
          <w:sz w:val="20"/>
          <w:szCs w:val="20"/>
          <w:color w:val="auto"/>
        </w:rPr>
      </w:pPr>
    </w:p>
    <w:p>
      <w:pPr>
        <w:ind w:left="6940"/>
        <w:spacing w:after="0"/>
        <w:rPr>
          <w:sz w:val="20"/>
          <w:szCs w:val="20"/>
          <w:color w:val="auto"/>
        </w:rPr>
      </w:pPr>
      <w:r>
        <w:rPr>
          <w:rFonts w:ascii="Arial" w:cs="Arial" w:eastAsia="Arial" w:hAnsi="Arial"/>
          <w:sz w:val="14"/>
          <w:szCs w:val="14"/>
          <w:b w:val="1"/>
          <w:bCs w:val="1"/>
          <w:color w:val="auto"/>
        </w:rPr>
        <w:t>September 30, 2021</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Six Months Ended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September 30, 2021</w:t>
      </w:r>
    </w:p>
    <w:p>
      <w:pPr>
        <w:spacing w:after="0" w:line="33" w:lineRule="exact"/>
        <w:rPr>
          <w:sz w:val="20"/>
          <w:szCs w:val="20"/>
          <w:color w:val="auto"/>
        </w:rPr>
      </w:pPr>
    </w:p>
    <w:p>
      <w:pPr>
        <w:sectPr>
          <w:pgSz w:w="11900" w:h="16838" w:orient="portrait"/>
          <w:cols w:equalWidth="0" w:num="2">
            <w:col w:w="8320" w:space="680"/>
            <w:col w:w="2160"/>
          </w:cols>
          <w:pgMar w:left="320" w:top="118" w:right="419" w:bottom="1440" w:gutter="0" w:footer="0" w:header="0"/>
          <w:type w:val="continuous"/>
        </w:sectPr>
      </w:pPr>
    </w:p>
    <w:tbl>
      <w:tblPr>
        <w:tblLayout w:type="fixed"/>
        <w:tblInd w:w="580" w:type="dxa"/>
        <w:tblCellMar>
          <w:top w:w="0" w:type="dxa"/>
          <w:left w:w="0" w:type="dxa"/>
          <w:bottom w:w="0" w:type="dxa"/>
          <w:right w:w="0" w:type="dxa"/>
        </w:tblCellMar>
      </w:tblPr>
      <w:tr>
        <w:trPr>
          <w:trHeight w:val="20"/>
        </w:trPr>
        <w:tc>
          <w:tcPr>
            <w:tcW w:w="6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6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00" w:type="dxa"/>
            <w:vAlign w:val="bottom"/>
            <w:gridSpan w:val="3"/>
          </w:tcPr>
          <w:p>
            <w:pPr>
              <w:jc w:val="right"/>
              <w:ind w:right="210"/>
              <w:spacing w:after="0" w:line="149" w:lineRule="exact"/>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508,944</w:t>
            </w:r>
          </w:p>
        </w:tc>
        <w:tc>
          <w:tcPr>
            <w:tcW w:w="92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998,193</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Non-U.S. customers (each country individually insignificant)</w:t>
            </w: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100,213</w:t>
            </w:r>
          </w:p>
        </w:tc>
        <w:tc>
          <w:tcPr>
            <w:tcW w:w="2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181,744</w:t>
            </w:r>
          </w:p>
        </w:tc>
        <w:tc>
          <w:tcPr>
            <w:tcW w:w="100" w:type="dxa"/>
            <w:vAlign w:val="bottom"/>
          </w:tcPr>
          <w:p>
            <w:pPr>
              <w:spacing w:after="0"/>
              <w:rPr>
                <w:sz w:val="18"/>
                <w:szCs w:val="18"/>
                <w:color w:val="auto"/>
              </w:rPr>
            </w:pPr>
          </w:p>
        </w:tc>
      </w:tr>
      <w:tr>
        <w:trPr>
          <w:trHeight w:val="249"/>
        </w:trPr>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609,157</w:t>
            </w:r>
          </w:p>
        </w:tc>
        <w:tc>
          <w:tcPr>
            <w:tcW w:w="2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1,179,937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-25400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type w:val="continuous"/>
        </w:sectPr>
      </w:pPr>
    </w:p>
    <w:bookmarkStart w:id="36" w:name="page37"/>
    <w:bookmarkEnd w:id="36"/>
    <w:p>
      <w:pPr>
        <w:ind w:right="2980"/>
        <w:spacing w:after="0" w:line="34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the proposed Inmarsat Transaction (as defined below) and any statements regarding the expected timing, benefits, synergies, growth opportunities and other financial and operating benefits thereof, the closing of the Inmarsat Transaction and timing or satisfaction of regulatory and other closing conditions; the proposed Link-16 TDL Sale (as defined below and together with the Inmarsat Transaction, the Transactions) and any statements regarding the expected timing, costs and benefits thereof; our anticipated operations, financial position, liquidity, performance, prospects or growth and scale opportunities following the closing of the Transactions; the impact of the novel coronavirus (COVID-19) pandemic on our business; our expectations regarding an end to the pandemic and a lessening of its effects on our business, including expectations for increased airline passenger traffic and in-flight connectivity (IFC) growth;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performance and anticipated benefits of our ViaSat-3 class satellites and any future satellite we may construct or acquire; the expected completion, capacity, service, coverage, service speeds and other features of our satellites, and the timing, cost, economics and other benefits associated therewith; anticipated subscriber growth; plans, objectives and strategies for future operations; international growth opportunities; the number of additional aircraft under existing contracts with commercial airlines anticipated to be put into service with our IFC systems;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risks and uncertainties related to the Transactions, including the failure to obtain, or delays in obtaining, required regulatory approvals or clearances; the risk that any such approval may result in the imposition of conditions that could adversely affect us or the expected benefits of the Transactions; the failure to satisfy any of the closing conditions to the Transactions on a timely basis or at all; any adverse impact on our business as a result of uncertainty surrounding the Transactions or on the business of Inmarsat as a result of uncertainty surrounding the Inmarsat Transaction; the nature, cost and outcome of any legal proceedings related to either Transaction; the occurrence of any event, change or other circumstances that could give rise to the termination of the definitive agreement for either Transaction, including in circumstances requiring Viasat to pay a termination fee with respect to the Inmarsat Transaction; the risk that Viasat’s stock price may decline significantly if either Transaction is not consummated; the failure to obtain the necessary debt financing arrangements set forth in the commitment letters received in connection with the Inmarsat Transaction; risks that either Transaction disrupts current plans and operations or diverts management’s attention from its ongoing business; the effect of the announcement of the either Transaction on our ability to retain and hire key personnel and maintain relationships with our customers, suppliers and others with whom we do business; our ability to successfully integrate Inmarsat operations, technologies and employees; the ability to realize anticipated benefits and synergies of the Inmarsat Transaction and our other acquisitions, including the expectation of enhancements to Viasat’s products and services, greater revenue or growth opportunities, operating efficiencies and cost savings; the ability to ensure continued performance and market growth of our business following the closing of the Transactions; our ability to realize the anticipated benefits of the ViaSat-3 class satellites and any future satellite we may construct or acquire; unexpected expenses related to our satellite projects; our ability to successfully implement our business plan for our broadband services on our anticipated timeline or at all; capacity constraints in our business in the lead-up to the launch of services on our ViaSat-3 satellites; risks associated with the construction, launch and operation of satellites, including the effect of any anomaly, operational failure or degradation in satellite performance; the impact of the COVID-19 pandemic on our business, suppliers, consumers, customers, and employees or the overall economy;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7" w:name="page38"/>
    <w:bookmarkEnd w:id="37"/>
    <w:p>
      <w:pPr>
        <w:ind w:right="40"/>
        <w:spacing w:after="0" w:line="257" w:lineRule="auto"/>
        <w:rPr>
          <w:sz w:val="20"/>
          <w:szCs w:val="20"/>
          <w:color w:val="auto"/>
        </w:rPr>
      </w:pPr>
      <w:r>
        <w:rPr>
          <w:rFonts w:ascii="Arial" w:cs="Arial" w:eastAsia="Arial" w:hAnsi="Arial"/>
          <w:sz w:val="17"/>
          <w:szCs w:val="17"/>
          <w:color w:val="auto"/>
        </w:rPr>
        <w:t>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recent changes to U.S.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2022,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military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We believe that our diversification strategy— anchored in a broad portfolio of products and services—our vertical integration approach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Viasat, Inc. was incorporated in California in 1986, and reincorporated as a Delaware corporation in 1996.</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Link-16 TDL Business</w:t>
      </w:r>
    </w:p>
    <w:p>
      <w:pPr>
        <w:spacing w:after="0" w:line="85"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On October 1, 2022, we entered into an Asset Purchase Agreement to sell certain assets and assign certain liabilities comprising our Link-16 Tactical Data Links business (the Link-16 TDL Business), part of our government systems segment, to L3Harris Technologies, Inc., in exchange for approximately $1.96 billion in cash (subject to certain adjustments), on and subject to the terms and conditions set forth therein (the Link-16 TDL Sale). In accordance with authoritative guidance for discontinued operations (Accounting Standards Codification (ASC)</w:t>
      </w:r>
    </w:p>
    <w:p>
      <w:pPr>
        <w:spacing w:after="0" w:line="3"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205-20), we determined that the Link-16 TDL Business met held-for-sale and discontinued operations accounting criteria at the end of the second quarter of fiscal year 2023. Accordingly, we classified the results of the Link-16 TDL Business as discontinued operations in our condensed consolidated statements of operations for all periods presented. Additionally, the related assets and liabilities associated with the discontinued operations are classified as held for sale and discontinued operations in the condensed consolidated balance sheets for all periods presented. The cash flows related to discontinued operations have not been segregated and are included in the condensed consolidated statements of cash flows. Unless otherwise noted, discussion throughout this Quarterly Report on Form 10-Q relates to continuing operations only and excludes the Link-16 TDL Business. See Note 4 — Discontinued Operations to our condensed consolidated financial statements for additional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Inmarsat Acquisition</w:t>
      </w:r>
    </w:p>
    <w:p>
      <w:pPr>
        <w:spacing w:after="0" w:line="85"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On November 8, 2021, we entered into a Share Purchase Agreement (the Purchase Agreement) to combine with Connect Topco Limited, a private company limited by shares and incorporated in Guernsey (Inmarsat), with the shareholders of Inmarsat and certain management and employees who hold options and shares of a subsidiary of Inmarsat whose options and shares will be exchanged for shares of Inmarsat prior to closing (collectively, the Sellers). Pursuant to the Purchase Agreement, we will purchase all of the issued and outstanding shares of Inmarsat from the Sellers upon the terms and subject to the conditions set forth therein (the Inmarsat Transaction). The total consideration payable by us under the Purchase Agreement consists of $850.0 million in cash, subject to adjustments (such as the dividend paid by Inmarsat in April 2022, see below), and approximately 46.36 million unregistered shares of our common stock. On April 6, 2022, Inmarsat paid a dividend of $299.3 million to the Sellers, resulting in a $299.3 million reduction in the cash consideration payable by us at the closing of the Inmarsat Transaction. Our board of directors has unanimously approved the Purchase Agreement and the proposed Inmarsat Transaction. Our stockholders approved the issuance of</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8" w:name="page39"/>
    <w:bookmarkEnd w:id="38"/>
    <w:p>
      <w:pPr>
        <w:ind w:right="20"/>
        <w:spacing w:after="0" w:line="246" w:lineRule="auto"/>
        <w:rPr>
          <w:sz w:val="20"/>
          <w:szCs w:val="20"/>
          <w:color w:val="auto"/>
        </w:rPr>
      </w:pPr>
      <w:r>
        <w:rPr>
          <w:rFonts w:ascii="Arial" w:cs="Arial" w:eastAsia="Arial" w:hAnsi="Arial"/>
          <w:sz w:val="18"/>
          <w:szCs w:val="18"/>
          <w:color w:val="auto"/>
        </w:rPr>
        <w:t>shares in the transaction and an amendment to the Company's certificate of incorporation to increase the number of shares of common stock authorized for issuance at a special meeting held on June 21, 2022.</w:t>
      </w:r>
    </w:p>
    <w:p>
      <w:pPr>
        <w:spacing w:after="0" w:line="143"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 closing of the Inmarsat Transaction is subject to customary closing conditions, including receipt of regulatory approvals and clearances. The Purchase Agreement contains certain termination rights for both us and certain of the Sellers and further provides that, upon termination of the Purchase Agreement under certain circumstances, we may be obligated to pay a termination fee of up to $200.0 million or to reimburse certain out-of-pocket expenses of certain Sellers up to $40.0 million.</w:t>
      </w:r>
    </w:p>
    <w:p>
      <w:pPr>
        <w:spacing w:after="0" w:line="161" w:lineRule="exact"/>
        <w:rPr>
          <w:sz w:val="20"/>
          <w:szCs w:val="20"/>
          <w:color w:val="auto"/>
        </w:rPr>
      </w:pPr>
    </w:p>
    <w:p>
      <w:pPr>
        <w:ind w:right="280" w:firstLine="509"/>
        <w:spacing w:after="0" w:line="241" w:lineRule="auto"/>
        <w:rPr>
          <w:sz w:val="20"/>
          <w:szCs w:val="20"/>
          <w:color w:val="auto"/>
        </w:rPr>
      </w:pPr>
      <w:r>
        <w:rPr>
          <w:rFonts w:ascii="Arial" w:cs="Arial" w:eastAsia="Arial" w:hAnsi="Arial"/>
          <w:sz w:val="18"/>
          <w:szCs w:val="18"/>
          <w:color w:val="auto"/>
        </w:rPr>
        <w:t>We have obtained financing commitments for an additional $1.6 billion of new debt facilities in connection with the Inmarsat Transaction (which may be secured and/or unsecured). However, we expect that the actual amount of indebtedness incurred under these commitments will be lower in light of the $299.3 million reduction in the cash purchase price payable in the Inmarsat Transaction. We also plan to assume $2.1 billion in principal amount of Inmarsat senior secured bonds and the outstanding indebtedness under Inmarsat’s $2.4 billion senior secured 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85" w:lineRule="exact"/>
        <w:rPr>
          <w:sz w:val="20"/>
          <w:szCs w:val="20"/>
          <w:color w:val="auto"/>
        </w:rPr>
      </w:pPr>
    </w:p>
    <w:p>
      <w:pPr>
        <w:jc w:val="both"/>
        <w:ind w:right="80" w:firstLine="509"/>
        <w:spacing w:after="0" w:line="243" w:lineRule="auto"/>
        <w:rPr>
          <w:sz w:val="20"/>
          <w:szCs w:val="20"/>
          <w:color w:val="auto"/>
        </w:rPr>
      </w:pPr>
      <w:r>
        <w:rPr>
          <w:rFonts w:ascii="Arial" w:cs="Arial" w:eastAsia="Arial" w:hAnsi="Arial"/>
          <w:sz w:val="18"/>
          <w:szCs w:val="18"/>
          <w:color w:val="auto"/>
        </w:rPr>
        <w:t>On April 30, 2021, we completed our acquisition of the remaining 51% interest in Euro Broadband Infrastructure Sàrl (EBI), a satellite broadband internet service provider in Europe, Middle East and Africa (EMEA), from Eutelsat. We paid approximately $167.0 million in cash, net of what is currently estimated to be an immaterial amount of estimated purchase price consideration (net of approximately $121.7 million of EBI's cash on hand, resulting in a cash outlay of approximately $51.0 million).</w:t>
      </w:r>
    </w:p>
    <w:p>
      <w:pPr>
        <w:spacing w:after="0" w:line="16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On April 30, 2021, we completed our acquisition of RigNet, Inc. (RigNet), a leading provider of ultra-secure, intelligent networking solutions and specialized applications. In connection with the acquisition, we issued approximately 4.0 million shares of our common stock to RigNet former shareholders, paid down $107.3 million of outstanding borrowings of RigNet’s revolving credit facility, and retained approximately $20.6 million of RigNet’s cash on hand.</w:t>
      </w:r>
    </w:p>
    <w:p>
      <w:pPr>
        <w:spacing w:after="0" w:line="147" w:lineRule="exact"/>
        <w:rPr>
          <w:sz w:val="20"/>
          <w:szCs w:val="20"/>
          <w:color w:val="auto"/>
        </w:rPr>
      </w:pPr>
    </w:p>
    <w:p>
      <w:pPr>
        <w:ind w:right="560" w:firstLine="509"/>
        <w:spacing w:after="0" w:line="246" w:lineRule="auto"/>
        <w:rPr>
          <w:sz w:val="20"/>
          <w:szCs w:val="20"/>
          <w:color w:val="auto"/>
        </w:rPr>
      </w:pPr>
      <w:r>
        <w:rPr>
          <w:rFonts w:ascii="Arial" w:cs="Arial" w:eastAsia="Arial" w:hAnsi="Arial"/>
          <w:sz w:val="18"/>
          <w:szCs w:val="18"/>
          <w:color w:val="auto"/>
        </w:rPr>
        <w:t>The assets and results of operations of EBI and RigNet are primarily included in our satellite services segment, with insignificant amounts included in our commercial networks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9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Although our financial results for the three and six months ended September 30, 2022 continued to be impacted by the COVID-19 pandemic, the impact was not material to our financial position, results of operations or cash flows in such periods. We continue to expect our diversified businesses to provide resiliency in fiscal year 2023.</w:t>
      </w:r>
    </w:p>
    <w:p>
      <w:pPr>
        <w:spacing w:after="0" w:line="162"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The extent of the impact of the COVID-19 pandemic on our business in the remainder of fiscal year 2023 and beyond will depend on many factors, including the duration and scope of the public health emergency, the extent, duration and effectiveness of containment actions taken, the extent of disruption to important global, regional and local supply chains and economic markets, and the impact of the pandemic on overall supply and demand, global air travel, consumer confidence, discretionary spending levels and levels of economic activity.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85" w:lineRule="exact"/>
        <w:rPr>
          <w:sz w:val="20"/>
          <w:szCs w:val="20"/>
          <w:color w:val="auto"/>
        </w:rPr>
      </w:pPr>
    </w:p>
    <w:p>
      <w:pPr>
        <w:ind w:right="440" w:firstLine="509"/>
        <w:spacing w:after="0" w:line="248" w:lineRule="auto"/>
        <w:rPr>
          <w:sz w:val="20"/>
          <w:szCs w:val="20"/>
          <w:color w:val="auto"/>
        </w:rPr>
      </w:pPr>
      <w:r>
        <w:rPr>
          <w:rFonts w:ascii="Arial" w:cs="Arial" w:eastAsia="Arial" w:hAnsi="Arial"/>
          <w:sz w:val="18"/>
          <w:szCs w:val="18"/>
          <w:color w:val="auto"/>
        </w:rPr>
        <w:t>Our satellite services segment uses our proprietary technology platform to provide satellite-based high -speed broadband services around the globe for use in commercial applications. Our proprietary Ka-band satellites are at the core of our technology platform. The primary services offered by our satellite services segment are comprised of:</w:t>
      </w:r>
    </w:p>
    <w:p>
      <w:pPr>
        <w:spacing w:after="0" w:line="87" w:lineRule="exact"/>
        <w:rPr>
          <w:sz w:val="20"/>
          <w:szCs w:val="20"/>
          <w:color w:val="auto"/>
        </w:rPr>
      </w:pPr>
    </w:p>
    <w:p>
      <w:pPr>
        <w:ind w:left="1020" w:right="220" w:hanging="503"/>
        <w:spacing w:after="0" w:line="24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Fixed broadband services, which provide consumers and businesses with high-speed, high-quality broadband internet access and Voice over Internet Protocol services, primarily in the United States as well as in various countries in Europe and Latin America.</w:t>
      </w:r>
    </w:p>
    <w:p>
      <w:pPr>
        <w:spacing w:after="0" w:line="87" w:lineRule="exact"/>
        <w:rPr>
          <w:rFonts w:ascii="Arial" w:cs="Arial" w:eastAsia="Arial" w:hAnsi="Arial"/>
          <w:sz w:val="18"/>
          <w:szCs w:val="18"/>
          <w:color w:val="auto"/>
        </w:rPr>
      </w:pPr>
    </w:p>
    <w:p>
      <w:pPr>
        <w:ind w:left="1020" w:right="20" w:hanging="503"/>
        <w:spacing w:after="0" w:line="24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In-flight services, which provide industry-leading IFC, wireless in-flight entertainment and aviation software services. As of September 30, 2022, we had our IFC systems installed and in service on approximately 1,970 commercial aircraft, of which, due to impacts of the COVID-19 pandemic approximately 20 were inactive at quarter end. We anticipate that approximately 1,270 additional commercial aircraft under existing customer agreements with commercial airlines will be put into service with our IFC systems. However, the timing of installation and entry into service for additional aircraft under existing customer agreements may be delayed due to COVID-19 impacts. Additionally, due to the nature of commercial airline contracts, there can be no assurance that anticipated IFC services will be activated on all such additional commercial aircraft.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9" w:name="page40"/>
    <w:bookmarkEnd w:id="39"/>
    <w:p>
      <w:pPr>
        <w:ind w:left="1020" w:right="100" w:hanging="503"/>
        <w:spacing w:after="0" w:line="24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Prepaid Internet services, which offer innovative, affordable, satellite-based connectivity in communities that have little or no access to the internet. The services help foster digital inclusion by enabling millions of people to connect to affordable high-quality internet services via a centralized community hotspot connected to the internet via satellite. We provide Prepaid Internet services in multiple regions in Mexico and Brazil and are trialing services in advance of full service launch in various other countries in South America and Central America.</w:t>
      </w:r>
    </w:p>
    <w:p>
      <w:pPr>
        <w:spacing w:after="0" w:line="87" w:lineRule="exact"/>
        <w:rPr>
          <w:rFonts w:ascii="Arial" w:cs="Arial" w:eastAsia="Arial" w:hAnsi="Arial"/>
          <w:sz w:val="18"/>
          <w:szCs w:val="18"/>
          <w:color w:val="auto"/>
        </w:rPr>
      </w:pPr>
    </w:p>
    <w:p>
      <w:pPr>
        <w:ind w:left="1020" w:right="200" w:hanging="503"/>
        <w:spacing w:after="0" w:line="24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mobile broadband services, which include high-speed, satellite-based internet services to seagoing vessels (such as energy offshore vessels, cruise ships, consumer ferries and yachts), as well as L-band managed services enabling real-time machine-to-machine (M2M) position tracking, management of remote assets and operations, and visibility into critical areas of the supply chain.</w:t>
      </w:r>
    </w:p>
    <w:p>
      <w:pPr>
        <w:spacing w:after="0" w:line="93" w:lineRule="exact"/>
        <w:rPr>
          <w:rFonts w:ascii="Arial" w:cs="Arial" w:eastAsia="Arial" w:hAnsi="Arial"/>
          <w:sz w:val="18"/>
          <w:szCs w:val="18"/>
          <w:color w:val="auto"/>
        </w:rPr>
      </w:pPr>
    </w:p>
    <w:p>
      <w:pPr>
        <w:ind w:left="1020" w:right="70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Energy services, which include ultra-secure solutions spanning global IP connectivity, bandwidth-optimized over-the-top applications, industrial Internet-of-Things big data enablement and industry-leading machine learning analytics.</w:t>
      </w:r>
    </w:p>
    <w:p>
      <w:pPr>
        <w:spacing w:after="0" w:line="130"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assets and results of operations of our recent acquisitions, EBI and RigNet, are primarily included in our satellite services segment (with insignificant amounts included in our commercial networks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99"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Our commercial networks segment develops and sells a wide array of advanced satellite and wireless products, antenna systems and terminal solutions that support or enable the provision of high-speed fixed and mobile broadband services. We design, develop and produce space system solutions for multiple orbital regimes, including geostationary, medium earth orbit and low earth orbit. The primary products, systems, solutions and services offered by our commercial networks segment are comprised of:</w:t>
      </w:r>
    </w:p>
    <w:p>
      <w:pPr>
        <w:spacing w:after="0" w:line="93"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and seagoing vessels.</w:t>
      </w:r>
    </w:p>
    <w:p>
      <w:pPr>
        <w:spacing w:after="0" w:line="103" w:lineRule="exact"/>
        <w:rPr>
          <w:rFonts w:ascii="Arial" w:cs="Arial" w:eastAsia="Arial" w:hAnsi="Arial"/>
          <w:sz w:val="18"/>
          <w:szCs w:val="18"/>
          <w:color w:val="auto"/>
        </w:rPr>
      </w:pPr>
    </w:p>
    <w:p>
      <w:pPr>
        <w:ind w:left="1020" w:right="70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 broadband satellite communication systems, including next-generation satellite network infrastructure and ground terminals.</w:t>
      </w:r>
    </w:p>
    <w:p>
      <w:pPr>
        <w:spacing w:after="0" w:line="76" w:lineRule="exact"/>
        <w:rPr>
          <w:rFonts w:ascii="Arial" w:cs="Arial" w:eastAsia="Arial" w:hAnsi="Arial"/>
          <w:sz w:val="18"/>
          <w:szCs w:val="18"/>
          <w:color w:val="auto"/>
        </w:rPr>
      </w:pPr>
    </w:p>
    <w:p>
      <w:pPr>
        <w:ind w:left="1020" w:right="260" w:hanging="503"/>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Antenna systems, including state-of-the-art ground and airborne terminals, antennas and gateways for terrestrial and satellite customer applications, mobile satellite communication, Ka-band earth stations and other multi-band antennas.</w:t>
      </w:r>
    </w:p>
    <w:p>
      <w:pPr>
        <w:spacing w:after="0" w:line="102" w:lineRule="exact"/>
        <w:rPr>
          <w:rFonts w:ascii="Arial" w:cs="Arial" w:eastAsia="Arial" w:hAnsi="Arial"/>
          <w:sz w:val="18"/>
          <w:szCs w:val="18"/>
          <w:color w:val="auto"/>
        </w:rPr>
      </w:pPr>
    </w:p>
    <w:p>
      <w:pPr>
        <w:ind w:left="1020" w:right="760" w:hanging="503"/>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Satellite networking development, including specialized design and technology services covering all aspects of satellite communication system architecture and technology.</w:t>
      </w:r>
    </w:p>
    <w:p>
      <w:pPr>
        <w:spacing w:after="0" w:line="88"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Space systems, including the design and development of high-capacity Ka-band satellites and associated payload technologies for our own satellite fleet as well as for third parties.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99"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Our government systems segment offers a broad array of products and services designed to enable the collection and transmission of secure real-time digital information and communications between fixed and mobile command centers, intelligence and defense platforms and individuals in the field. The primary products and services of our government systems segment include:</w:t>
      </w:r>
    </w:p>
    <w:p>
      <w:pPr>
        <w:spacing w:after="0" w:line="87" w:lineRule="exact"/>
        <w:rPr>
          <w:sz w:val="20"/>
          <w:szCs w:val="20"/>
          <w:color w:val="auto"/>
        </w:rPr>
      </w:pPr>
    </w:p>
    <w:p>
      <w:pPr>
        <w:jc w:val="both"/>
        <w:ind w:left="1020" w:right="100" w:hanging="503"/>
        <w:spacing w:after="0" w:line="24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 as well as line-of-sight and beyond-line-of-sight Intelligence Surveillance and Reconnaissance missions.</w:t>
      </w:r>
    </w:p>
    <w:p>
      <w:pPr>
        <w:spacing w:after="0" w:line="87" w:lineRule="exact"/>
        <w:rPr>
          <w:rFonts w:ascii="Arial" w:cs="Arial" w:eastAsia="Arial" w:hAnsi="Arial"/>
          <w:sz w:val="18"/>
          <w:szCs w:val="18"/>
          <w:color w:val="auto"/>
        </w:rPr>
      </w:pPr>
    </w:p>
    <w:p>
      <w:pPr>
        <w:ind w:left="1020" w:right="60" w:hanging="503"/>
        <w:spacing w:after="0" w:line="24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satellite communication systems, which offer an array of portable, mobile and fixed broadband modems, terminals, network access control systems and antenna systems, and include products designed for manpacks, aircraft, unmanned aerial vehicles, seagoing vessels, ground-mobile vehicles and fixed applications.</w:t>
      </w:r>
    </w:p>
    <w:p>
      <w:pPr>
        <w:spacing w:after="0" w:line="87" w:lineRule="exact"/>
        <w:rPr>
          <w:rFonts w:ascii="Arial" w:cs="Arial" w:eastAsia="Arial" w:hAnsi="Arial"/>
          <w:sz w:val="18"/>
          <w:szCs w:val="18"/>
          <w:color w:val="auto"/>
        </w:rPr>
      </w:pPr>
    </w:p>
    <w:p>
      <w:pPr>
        <w:ind w:left="1020" w:right="220" w:hanging="503"/>
        <w:spacing w:after="0" w:line="23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Secure networking, cybersecurity and information assurance products and services, which provide advanced, high-speed IP-based “Type 1” and High Assurance Internet Protocol Encryption (HAIPE</w:t>
      </w:r>
      <w:r>
        <w:rPr>
          <w:rFonts w:ascii="Arial" w:cs="Arial" w:eastAsia="Arial" w:hAnsi="Arial"/>
          <w:sz w:val="24"/>
          <w:szCs w:val="24"/>
          <w:color w:val="auto"/>
          <w:vertAlign w:val="superscript"/>
        </w:rPr>
        <w:t>®</w:t>
      </w:r>
      <w:r>
        <w:rPr>
          <w:rFonts w:ascii="Arial" w:cs="Arial" w:eastAsia="Arial" w:hAnsi="Arial"/>
          <w:sz w:val="18"/>
          <w:szCs w:val="18"/>
          <w:color w:val="auto"/>
        </w:rPr>
        <w:t>)-compliant encryption solutions that enable military and government users to communicate information securely over networks, and that protect the integrity of data stored on computers and storage devices.</w:t>
      </w:r>
    </w:p>
    <w:p>
      <w:pPr>
        <w:spacing w:after="0" w:line="95"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Tactical data links, including our Battlefield Awareness and Targeting System — Dismounted handheld Link-16 radios, our Small Tactical Terminal 2-channel radios for manned and unmanned applications, “disposable”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0" w:name="page41"/>
    <w:bookmarkEnd w:id="40"/>
    <w:p>
      <w:pPr>
        <w:ind w:left="1020" w:right="200"/>
        <w:spacing w:after="0" w:line="243" w:lineRule="auto"/>
        <w:rPr>
          <w:sz w:val="20"/>
          <w:szCs w:val="20"/>
          <w:color w:val="auto"/>
        </w:rPr>
      </w:pPr>
      <w:r>
        <w:rPr>
          <w:rFonts w:ascii="Arial" w:cs="Arial" w:eastAsia="Arial" w:hAnsi="Arial"/>
          <w:sz w:val="18"/>
          <w:szCs w:val="18"/>
          <w:color w:val="auto"/>
        </w:rPr>
        <w:t>defense data links, and our Multifunctional Information Distribution System (MIDS) and MIDS Joint Tactical Radio Systems terminals for military fighter jets. On October 1, 2022, we entered into an Asset Purchase Agreement to sell certain assets and assign certain liabilities comprising our Link-16 TDL Business to L3Harris Technologies, Inc. See Note 4 — Discontinued Operations to our condensed consolidated financial statements for additional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99"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For a summary of factors and trends affecting our results of operations, see Part II, Item 7, "Factors and Trends Affecting our Results of Operations" in our Annual Report on Form 10-K for the year ended March 31,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99"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Our satellite services segment revenues are primarily derived from our fixed broadband services, in-flight services and energy services (acquired through the RigNet acquisition).</w:t>
      </w:r>
    </w:p>
    <w:p>
      <w:pPr>
        <w:spacing w:after="0" w:line="143"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Revenues in our commercial networks and government systems segments are primarily derived from three types of contracts: fixed-price contracts (which require us to provide products and services under a contract at a specified price), cost-reimbursement contracts (under which we are reimbursed for all actual costs incurred in performing the contract to the extent such costs are within the contract ceiling and allowable under the terms of the contract, plus a fee or profit), and time-and-materials contracts (which reimburse us for the number of labor hours expended at an established hourly rate negotiated in the contract, plus the cost of materials utilized in providing such products or services).</w:t>
      </w:r>
    </w:p>
    <w:p>
      <w:pPr>
        <w:spacing w:after="0" w:line="147"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 xml:space="preserve">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See Note 1 </w:t>
      </w:r>
      <w:r>
        <w:rPr>
          <w:rFonts w:ascii="Arial" w:cs="Arial" w:eastAsia="Arial" w:hAnsi="Arial"/>
          <w:sz w:val="21"/>
          <w:szCs w:val="21"/>
          <w:color w:val="auto"/>
        </w:rPr>
        <w:t>—</w:t>
      </w:r>
      <w:r>
        <w:rPr>
          <w:rFonts w:ascii="Arial" w:cs="Arial" w:eastAsia="Arial" w:hAnsi="Arial"/>
          <w:sz w:val="18"/>
          <w:szCs w:val="18"/>
          <w:color w:val="auto"/>
        </w:rPr>
        <w:t xml:space="preserve"> Basis of Presentation to our condensed consolidated financial statements for additional information.</w:t>
      </w:r>
    </w:p>
    <w:p>
      <w:pPr>
        <w:spacing w:after="0" w:line="141"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To date, our ability to grow and maintain our revenues in our commercial networks and government systems segments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5"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9"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164" w:lineRule="exact"/>
        <w:rPr>
          <w:sz w:val="20"/>
          <w:szCs w:val="20"/>
          <w:color w:val="auto"/>
        </w:rPr>
      </w:pPr>
    </w:p>
    <w:p>
      <w:pPr>
        <w:ind w:right="380" w:firstLine="509"/>
        <w:spacing w:after="0" w:line="243" w:lineRule="auto"/>
        <w:rPr>
          <w:sz w:val="20"/>
          <w:szCs w:val="20"/>
          <w:color w:val="auto"/>
        </w:rPr>
      </w:pPr>
      <w:r>
        <w:rPr>
          <w:rFonts w:ascii="Arial" w:cs="Arial" w:eastAsia="Arial" w:hAnsi="Arial"/>
          <w:sz w:val="18"/>
          <w:szCs w:val="18"/>
          <w:color w:val="auto"/>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right="140"/>
        <w:spacing w:after="0" w:line="243" w:lineRule="auto"/>
        <w:rPr>
          <w:sz w:val="20"/>
          <w:szCs w:val="20"/>
          <w:color w:val="auto"/>
        </w:rPr>
      </w:pPr>
      <w:r>
        <w:rPr>
          <w:rFonts w:ascii="Arial" w:cs="Arial" w:eastAsia="Arial" w:hAnsi="Arial"/>
          <w:sz w:val="18"/>
          <w:szCs w:val="18"/>
          <w:color w:val="auto"/>
        </w:rPr>
        <w:t>progress over time is based upon either a period of time (e.g., over the estimated contractual term) or usage (e.g., bandwidth used/bytes of data processed). We evaluate whether broadband equipment provided to our customer as part of the delivery of connectivity services represents a lease in accordance with the authoritative guidance for leases (ASC 842). As discussed in Note 1 – Basis of Presentation – Leases to our condensed consolidated financial statements, for broadband equipment leased to fixed broadband customers in conjunction with the delivery of connectivity services, we account for the lease and non-lease components of connectivity services arrangement as a single performance obligation as the connectivity services represent the predominant component.</w:t>
      </w:r>
    </w:p>
    <w:p>
      <w:pPr>
        <w:spacing w:after="0" w:line="14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5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vast majority of our revenues from long-term contracts to develop and deliver complex equipment built to customer specifications are derived from contracts with the U.S. Government (including foreign military sales contracted through the U.S. Government). 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5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September 30, 2022 would change our income (loss) before income taxes by an insignificant amount.</w:t>
      </w:r>
    </w:p>
    <w:p>
      <w:pPr>
        <w:spacing w:after="0" w:line="158"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42" w:name="page43"/>
    <w:bookmarkEnd w:id="42"/>
    <w:p>
      <w:pPr>
        <w:ind w:right="40"/>
        <w:spacing w:after="0"/>
        <w:rPr>
          <w:sz w:val="20"/>
          <w:szCs w:val="20"/>
          <w:color w:val="auto"/>
        </w:rPr>
      </w:pPr>
      <w:r>
        <w:rPr>
          <w:rFonts w:ascii="Arial" w:cs="Arial" w:eastAsia="Arial" w:hAnsi="Arial"/>
          <w:sz w:val="18"/>
          <w:szCs w:val="18"/>
          <w:color w:val="auto"/>
        </w:rPr>
        <w:t>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67"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85"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Property, equipment and satellites, net includes our owned and leased satellites and the associated earth stations and networking equipment, as well as the customer premise equipment units which are leased to subscribers under a retail leasing program as part of our satellite services segment.</w:t>
      </w:r>
    </w:p>
    <w:p>
      <w:pPr>
        <w:spacing w:after="0" w:line="14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9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accordance with ASC 842,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3" w:name="page44"/>
    <w:bookmarkEnd w:id="43"/>
    <w:p>
      <w:pPr>
        <w:jc w:val="both"/>
        <w:ind w:right="120"/>
        <w:spacing w:after="0"/>
        <w:rPr>
          <w:sz w:val="20"/>
          <w:szCs w:val="20"/>
          <w:color w:val="auto"/>
        </w:rPr>
      </w:pPr>
      <w:r>
        <w:rPr>
          <w:rFonts w:ascii="Arial" w:cs="Arial" w:eastAsia="Arial" w:hAnsi="Arial"/>
          <w:sz w:val="18"/>
          <w:szCs w:val="18"/>
          <w:color w:val="auto"/>
        </w:rPr>
        <w:t>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6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ind w:left="280" w:hanging="272"/>
        <w:spacing w:after="0" w:line="234"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w:t>
      </w:r>
    </w:p>
    <w:p>
      <w:pPr>
        <w:ind w:right="100"/>
        <w:spacing w:after="0" w:line="248" w:lineRule="auto"/>
        <w:rPr>
          <w:rFonts w:ascii="Arial" w:cs="Arial" w:eastAsia="Arial" w:hAnsi="Arial"/>
          <w:sz w:val="18"/>
          <w:szCs w:val="18"/>
          <w:color w:val="auto"/>
        </w:rPr>
      </w:pPr>
      <w:r>
        <w:rPr>
          <w:rFonts w:ascii="Arial" w:cs="Arial" w:eastAsia="Arial" w:hAnsi="Arial"/>
          <w:sz w:val="18"/>
          <w:szCs w:val="18"/>
          <w:color w:val="auto"/>
        </w:rPr>
        <w:t>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41" w:lineRule="exact"/>
        <w:rPr>
          <w:sz w:val="20"/>
          <w:szCs w:val="20"/>
          <w:color w:val="auto"/>
        </w:rPr>
      </w:pPr>
    </w:p>
    <w:p>
      <w:pPr>
        <w:jc w:val="both"/>
        <w:ind w:right="100" w:firstLine="509"/>
        <w:spacing w:after="0" w:line="243"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61"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For broadband equipment leased to fixed broadband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85"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purchase price for business combinations is allocated to the estimated fair values of acquired tangible and intangible assets, and assumed liabilities, where applicable. Additionally, we recognize technology, contracts and customer relationships, satellite co-location rights,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six months ended September 30, 2022 and 2021.</w:t>
      </w:r>
    </w:p>
    <w:p>
      <w:pPr>
        <w:spacing w:after="0" w:line="16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and the provisions of ASU 2017-04, Simplifying the Test for Goodwill Impairment, which we early adopted in fiscal year 2020.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Alternatively, if we determine in the qualitative assessment that it is more likely than not that the fair value is less than its carrying value, then we perform a quantitative goodwill impairment test to identify both the existence of an impairment and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44" w:name="page45"/>
    <w:bookmarkEnd w:id="44"/>
    <w:p>
      <w:pPr>
        <w:ind w:right="60"/>
        <w:spacing w:after="0" w:line="245" w:lineRule="auto"/>
        <w:rPr>
          <w:sz w:val="20"/>
          <w:szCs w:val="20"/>
          <w:color w:val="auto"/>
        </w:rPr>
      </w:pPr>
      <w:r>
        <w:rPr>
          <w:rFonts w:ascii="Arial" w:cs="Arial" w:eastAsia="Arial" w:hAnsi="Arial"/>
          <w:sz w:val="18"/>
          <w:szCs w:val="18"/>
          <w:color w:val="auto"/>
        </w:rPr>
        <w:t>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spacing w:after="0" w:line="14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6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Based on our qualitative assessment performed during the fourth quarter of fiscal year 2022, we concluded that it was more likely than not that the estimated fair value of our reporting units exceeded their carrying value as of March 31, 2022, and therefore, determined it was not necessary to perform a quantitative goodwill impairment test.</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$78.1 million at March 31, 2022 to $143.6 million at September 30, 2022. The valuation allowance relates to state and foreign net operating loss carryforwards, state R&amp;D tax credit carryforwards and foreign tax credit carryforwards.</w:t>
      </w:r>
    </w:p>
    <w:p>
      <w:pPr>
        <w:spacing w:after="0" w:line="153"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6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5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The following table presents, as a percentage of total revenues, income statement data of our continuing operations for the periods indicated:</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900" w:type="dxa"/>
            <w:vAlign w:val="bottom"/>
          </w:tcPr>
          <w:p>
            <w:pPr>
              <w:spacing w:after="0"/>
              <w:rPr>
                <w:sz w:val="16"/>
                <w:szCs w:val="16"/>
                <w:color w:val="auto"/>
              </w:rPr>
            </w:pPr>
          </w:p>
        </w:tc>
        <w:tc>
          <w:tcPr>
            <w:tcW w:w="2660" w:type="dxa"/>
            <w:vAlign w:val="bottom"/>
            <w:gridSpan w:val="4"/>
          </w:tcPr>
          <w:p>
            <w:pPr>
              <w:jc w:val="right"/>
              <w:ind w:right="630"/>
              <w:spacing w:after="0"/>
              <w:rPr>
                <w:sz w:val="20"/>
                <w:szCs w:val="20"/>
                <w:color w:val="auto"/>
              </w:rPr>
            </w:pPr>
            <w:r>
              <w:rPr>
                <w:rFonts w:ascii="Arial" w:cs="Arial" w:eastAsia="Arial" w:hAnsi="Arial"/>
                <w:sz w:val="14"/>
                <w:szCs w:val="14"/>
                <w:b w:val="1"/>
                <w:bCs w:val="1"/>
                <w:color w:val="auto"/>
              </w:rPr>
              <w:t>Three Months Ended</w:t>
            </w:r>
          </w:p>
        </w:tc>
        <w:tc>
          <w:tcPr>
            <w:tcW w:w="26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w:t>
            </w:r>
          </w:p>
        </w:tc>
      </w:tr>
      <w:tr>
        <w:trPr>
          <w:trHeight w:val="129"/>
        </w:trPr>
        <w:tc>
          <w:tcPr>
            <w:tcW w:w="4900" w:type="dxa"/>
            <w:vAlign w:val="bottom"/>
          </w:tcPr>
          <w:p>
            <w:pPr>
              <w:spacing w:after="0"/>
              <w:rPr>
                <w:sz w:val="11"/>
                <w:szCs w:val="11"/>
                <w:color w:val="auto"/>
              </w:rPr>
            </w:pPr>
          </w:p>
        </w:tc>
        <w:tc>
          <w:tcPr>
            <w:tcW w:w="1340" w:type="dxa"/>
            <w:vAlign w:val="bottom"/>
            <w:tcBorders>
              <w:top w:val="single" w:sz="8" w:color="auto"/>
            </w:tcBorders>
            <w:gridSpan w:val="2"/>
          </w:tcPr>
          <w:p>
            <w:pPr>
              <w:jc w:val="right"/>
              <w:ind w:right="210"/>
              <w:spacing w:after="0" w:line="129" w:lineRule="exact"/>
              <w:rPr>
                <w:sz w:val="20"/>
                <w:szCs w:val="20"/>
                <w:color w:val="auto"/>
              </w:rPr>
            </w:pPr>
            <w:r>
              <w:rPr>
                <w:rFonts w:ascii="Arial" w:cs="Arial" w:eastAsia="Arial" w:hAnsi="Arial"/>
                <w:sz w:val="14"/>
                <w:szCs w:val="14"/>
                <w:b w:val="1"/>
                <w:bCs w:val="1"/>
                <w:color w:val="auto"/>
              </w:rPr>
              <w:t>September 30,</w:t>
            </w:r>
          </w:p>
        </w:tc>
        <w:tc>
          <w:tcPr>
            <w:tcW w:w="11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1"/>
                <w:szCs w:val="11"/>
                <w:color w:val="auto"/>
              </w:rPr>
            </w:pPr>
          </w:p>
        </w:tc>
        <w:tc>
          <w:tcPr>
            <w:tcW w:w="1300" w:type="dxa"/>
            <w:vAlign w:val="bottom"/>
            <w:tcBorders>
              <w:top w:val="single" w:sz="8" w:color="auto"/>
            </w:tcBorders>
            <w:gridSpan w:val="2"/>
          </w:tcPr>
          <w:p>
            <w:pPr>
              <w:jc w:val="right"/>
              <w:ind w:right="170"/>
              <w:spacing w:after="0" w:line="129" w:lineRule="exact"/>
              <w:rPr>
                <w:sz w:val="20"/>
                <w:szCs w:val="20"/>
                <w:color w:val="auto"/>
              </w:rPr>
            </w:pPr>
            <w:r>
              <w:rPr>
                <w:rFonts w:ascii="Arial" w:cs="Arial" w:eastAsia="Arial" w:hAnsi="Arial"/>
                <w:sz w:val="14"/>
                <w:szCs w:val="14"/>
                <w:b w:val="1"/>
                <w:bCs w:val="1"/>
                <w:color w:val="auto"/>
              </w:rPr>
              <w:t>September 30,</w:t>
            </w:r>
          </w:p>
        </w:tc>
        <w:tc>
          <w:tcPr>
            <w:tcW w:w="11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89"/>
        </w:trPr>
        <w:tc>
          <w:tcPr>
            <w:tcW w:w="4900" w:type="dxa"/>
            <w:vAlign w:val="bottom"/>
          </w:tcPr>
          <w:p>
            <w:pPr>
              <w:spacing w:after="0"/>
              <w:rPr>
                <w:sz w:val="16"/>
                <w:szCs w:val="16"/>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8"/>
                <w:szCs w:val="18"/>
                <w:color w:val="auto"/>
              </w:rPr>
              <w:t>Revenues:</w:t>
            </w: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17"/>
        </w:trPr>
        <w:tc>
          <w:tcPr>
            <w:tcW w:w="4900" w:type="dxa"/>
            <w:vAlign w:val="bottom"/>
          </w:tcPr>
          <w:p>
            <w:pPr>
              <w:ind w:left="260"/>
              <w:spacing w:after="0"/>
              <w:rPr>
                <w:sz w:val="20"/>
                <w:szCs w:val="20"/>
                <w:color w:val="auto"/>
              </w:rPr>
            </w:pPr>
            <w:r>
              <w:rPr>
                <w:rFonts w:ascii="Arial" w:cs="Arial" w:eastAsia="Arial" w:hAnsi="Arial"/>
                <w:sz w:val="18"/>
                <w:szCs w:val="18"/>
                <w:color w:val="auto"/>
              </w:rPr>
              <w:t>Product revenues</w:t>
            </w: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revenues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product revenues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00" w:type="dxa"/>
            <w:vAlign w:val="bottom"/>
          </w:tcPr>
          <w:p>
            <w:pPr>
              <w:ind w:left="260"/>
              <w:spacing w:after="0"/>
              <w:rPr>
                <w:sz w:val="20"/>
                <w:szCs w:val="20"/>
                <w:color w:val="auto"/>
              </w:rPr>
            </w:pPr>
            <w:r>
              <w:rPr>
                <w:rFonts w:ascii="Arial" w:cs="Arial" w:eastAsia="Arial" w:hAnsi="Arial"/>
                <w:sz w:val="18"/>
                <w:szCs w:val="18"/>
                <w:color w:val="auto"/>
              </w:rPr>
              <w:t>Cost of service revenues</w:t>
            </w: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00" w:type="dxa"/>
            <w:vAlign w:val="bottom"/>
          </w:tcPr>
          <w:p>
            <w:pPr>
              <w:ind w:left="260"/>
              <w:spacing w:after="0"/>
              <w:rPr>
                <w:sz w:val="20"/>
                <w:szCs w:val="20"/>
                <w:color w:val="auto"/>
              </w:rPr>
            </w:pPr>
            <w:r>
              <w:rPr>
                <w:rFonts w:ascii="Arial" w:cs="Arial" w:eastAsia="Arial" w:hAnsi="Arial"/>
                <w:sz w:val="18"/>
                <w:szCs w:val="18"/>
                <w:color w:val="auto"/>
              </w:rPr>
              <w:t>Independent research and development</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3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(4 )</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(5 )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80" w:type="dxa"/>
            <w:vAlign w:val="bottom"/>
          </w:tcPr>
          <w:p>
            <w:pPr>
              <w:spacing w:after="0"/>
              <w:rPr>
                <w:sz w:val="18"/>
                <w:szCs w:val="18"/>
                <w:color w:val="auto"/>
              </w:rPr>
            </w:pPr>
          </w:p>
        </w:tc>
      </w:tr>
      <w:tr>
        <w:trPr>
          <w:trHeight w:val="216"/>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income, net</w:t>
            </w:r>
          </w:p>
        </w:tc>
        <w:tc>
          <w:tcPr>
            <w:tcW w:w="13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(1 )</w:t>
            </w:r>
          </w:p>
        </w:tc>
        <w:tc>
          <w:tcPr>
            <w:tcW w:w="13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18"/>
                <w:szCs w:val="18"/>
                <w:color w:val="auto"/>
              </w:rPr>
            </w:pPr>
          </w:p>
        </w:tc>
      </w:tr>
      <w:tr>
        <w:trPr>
          <w:trHeight w:val="182"/>
        </w:trPr>
        <w:tc>
          <w:tcPr>
            <w:tcW w:w="490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Income (loss) from continuing operations before income</w:t>
            </w: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0" w:type="dxa"/>
            <w:vAlign w:val="bottom"/>
          </w:tcPr>
          <w:p>
            <w:pPr>
              <w:spacing w:after="0"/>
              <w:rPr>
                <w:sz w:val="15"/>
                <w:szCs w:val="15"/>
                <w:color w:val="auto"/>
              </w:rPr>
            </w:pPr>
          </w:p>
        </w:tc>
      </w:tr>
      <w:tr>
        <w:trPr>
          <w:trHeight w:val="217"/>
        </w:trPr>
        <w:tc>
          <w:tcPr>
            <w:tcW w:w="4900" w:type="dxa"/>
            <w:vAlign w:val="bottom"/>
          </w:tcPr>
          <w:p>
            <w:pPr>
              <w:spacing w:after="0"/>
              <w:rPr>
                <w:sz w:val="20"/>
                <w:szCs w:val="20"/>
                <w:color w:val="auto"/>
              </w:rPr>
            </w:pPr>
            <w:r>
              <w:rPr>
                <w:rFonts w:ascii="Arial" w:cs="Arial" w:eastAsia="Arial" w:hAnsi="Arial"/>
                <w:sz w:val="18"/>
                <w:szCs w:val="18"/>
                <w:color w:val="auto"/>
              </w:rPr>
              <w:t>taxes</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(5 )</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(5 )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18"/>
                <w:szCs w:val="18"/>
                <w:color w:val="auto"/>
              </w:rPr>
            </w:pPr>
          </w:p>
        </w:tc>
      </w:tr>
      <w:tr>
        <w:trPr>
          <w:trHeight w:val="188"/>
        </w:trPr>
        <w:tc>
          <w:tcPr>
            <w:tcW w:w="490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(Provision for) benefit from income taxes from continuing</w:t>
            </w: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tcPr>
          <w:p>
            <w:pPr>
              <w:spacing w:after="0"/>
              <w:rPr>
                <w:sz w:val="16"/>
                <w:szCs w:val="16"/>
                <w:color w:val="auto"/>
              </w:rPr>
            </w:pPr>
          </w:p>
        </w:tc>
      </w:tr>
      <w:tr>
        <w:trPr>
          <w:trHeight w:val="217"/>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operations</w:t>
            </w:r>
          </w:p>
        </w:tc>
        <w:tc>
          <w:tcPr>
            <w:tcW w:w="1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(12 )</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(4 )</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income (loss) from continuing operations</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(11 )</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(4 )</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(9 )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from discontinued operations, net of tax</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4900" w:type="dxa"/>
            <w:vAlign w:val="bottom"/>
          </w:tcPr>
          <w:p>
            <w:pPr>
              <w:spacing w:after="0"/>
              <w:rPr>
                <w:sz w:val="20"/>
                <w:szCs w:val="20"/>
                <w:color w:val="auto"/>
              </w:rPr>
            </w:pPr>
            <w:r>
              <w:rPr>
                <w:rFonts w:ascii="Arial" w:cs="Arial" w:eastAsia="Arial" w:hAnsi="Arial"/>
                <w:sz w:val="18"/>
                <w:szCs w:val="18"/>
                <w:color w:val="auto"/>
              </w:rPr>
              <w:t>Net income (loss) attributable to Viasat, Inc.</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(7 )</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(6 )</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-2451735</wp:posOffset>
            </wp:positionV>
            <wp:extent cx="641223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-1217295</wp:posOffset>
            </wp:positionV>
            <wp:extent cx="68580" cy="145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-1217295</wp:posOffset>
            </wp:positionV>
            <wp:extent cx="60325" cy="145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-1217295</wp:posOffset>
            </wp:positionV>
            <wp:extent cx="60325" cy="145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-1217295</wp:posOffset>
            </wp:positionV>
            <wp:extent cx="60325" cy="145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-934085</wp:posOffset>
            </wp:positionV>
            <wp:extent cx="68580" cy="2654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-934085</wp:posOffset>
            </wp:positionV>
            <wp:extent cx="60325" cy="2654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-934085</wp:posOffset>
            </wp:positionV>
            <wp:extent cx="60325" cy="2654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-934085</wp:posOffset>
            </wp:positionV>
            <wp:extent cx="60325" cy="2654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265430"/>
                    </a:xfrm>
                    <a:prstGeom prst="rect">
                      <a:avLst/>
                    </a:prstGeom>
                    <a:noFill/>
                  </pic:spPr>
                </pic:pic>
              </a:graphicData>
            </a:graphic>
          </wp:anchor>
        </w:drawing>
      </w:r>
    </w:p>
    <w:p>
      <w:pPr>
        <w:spacing w:after="0" w:line="240" w:lineRule="exact"/>
        <w:rPr>
          <w:sz w:val="20"/>
          <w:szCs w:val="20"/>
          <w:color w:val="auto"/>
        </w:rPr>
      </w:pPr>
    </w:p>
    <w:p>
      <w:pPr>
        <w:ind w:right="3680"/>
        <w:spacing w:after="0" w:line="365" w:lineRule="auto"/>
        <w:rPr>
          <w:sz w:val="20"/>
          <w:szCs w:val="20"/>
          <w:color w:val="auto"/>
        </w:rPr>
      </w:pPr>
      <w:r>
        <w:rPr>
          <w:rFonts w:ascii="Arial" w:cs="Arial" w:eastAsia="Arial" w:hAnsi="Arial"/>
          <w:sz w:val="18"/>
          <w:szCs w:val="18"/>
          <w:b w:val="1"/>
          <w:bCs w:val="1"/>
          <w:color w:val="auto"/>
        </w:rPr>
        <w:t xml:space="preserve">Three Months Ended September 30, 2022 vs. Three Months Ended September 30, 2021 </w:t>
      </w:r>
      <w:r>
        <w:rPr>
          <w:rFonts w:ascii="Arial" w:cs="Arial" w:eastAsia="Arial" w:hAnsi="Arial"/>
          <w:sz w:val="18"/>
          <w:szCs w:val="18"/>
          <w:i w:val="1"/>
          <w:iCs w:val="1"/>
          <w:color w:val="auto"/>
        </w:rPr>
        <w:t>Revenues</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39"/>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138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1"/>
                <w:szCs w:val="11"/>
                <w:color w:val="auto"/>
              </w:rPr>
            </w:pPr>
          </w:p>
        </w:tc>
        <w:tc>
          <w:tcPr>
            <w:tcW w:w="11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39"/>
              <w:spacing w:after="0" w:line="129"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1"/>
                <w:szCs w:val="11"/>
                <w:color w:val="auto"/>
              </w:rPr>
            </w:pPr>
          </w:p>
        </w:tc>
        <w:tc>
          <w:tcPr>
            <w:tcW w:w="1380" w:type="dxa"/>
            <w:vAlign w:val="bottom"/>
            <w:gridSpan w:val="2"/>
          </w:tcPr>
          <w:p>
            <w:pPr>
              <w:jc w:val="center"/>
              <w:ind w:right="11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6"/>
                <w:szCs w:val="16"/>
                <w:color w:val="auto"/>
              </w:rPr>
            </w:pPr>
          </w:p>
        </w:tc>
        <w:tc>
          <w:tcPr>
            <w:tcW w:w="138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Product revenues</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254.9</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221.1</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4900" w:type="dxa"/>
            <w:vAlign w:val="bottom"/>
            <w:gridSpan w:val="2"/>
          </w:tcPr>
          <w:p>
            <w:pPr>
              <w:spacing w:after="0"/>
              <w:rPr>
                <w:sz w:val="20"/>
                <w:szCs w:val="20"/>
                <w:color w:val="auto"/>
              </w:rPr>
            </w:pPr>
            <w:r>
              <w:rPr>
                <w:rFonts w:ascii="Arial" w:cs="Arial" w:eastAsia="Arial" w:hAnsi="Arial"/>
                <w:sz w:val="18"/>
                <w:szCs w:val="18"/>
                <w:color w:val="auto"/>
              </w:rPr>
              <w:t>Service revenues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9"/>
        </w:trPr>
        <w:tc>
          <w:tcPr>
            <w:tcW w:w="49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656.7</w:t>
            </w:r>
          </w:p>
        </w:tc>
        <w:tc>
          <w:tcPr>
            <w:tcW w:w="220" w:type="dxa"/>
            <w:vAlign w:val="bottom"/>
          </w:tcPr>
          <w:p>
            <w:pPr>
              <w:spacing w:after="0"/>
              <w:rPr>
                <w:sz w:val="18"/>
                <w:szCs w:val="18"/>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609.2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47.5</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-419100</wp:posOffset>
            </wp:positionV>
            <wp:extent cx="641223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8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total revenues increased by $47.5 million as a result of a $33.8 million increase in product revenues and a $13.7 million increase in service revenues. The product revenue increase was driven primarily by a $ 40.9 million increase in our commercial networks segment, primarily the result of the Cisco Systems, Inc. (Cisco) settlement. Cisco, which previously acquired Acacia Communications, Inc. (Acacia), paid us $62.2 million during the three months ended September 30, 2022 in order to fully satisfy the July 2019 judgment previously entered against Acacia (the Cisco Settlement), of which we recorded $55.8 million as product revenue in our commercial networks segment (see Note 1 — Basis of Presentation to our condensed consolidated financial statements for more information), partially offset by a $7.1 million decrease in our government systems segment. The service revenue increase was primarily driven by increases of $9.0 million in our government systems segment and $4.3 million in our commercial networks segment.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rPr>
              <w:t>Dollar</w:t>
            </w:r>
          </w:p>
        </w:tc>
        <w:tc>
          <w:tcPr>
            <w:tcW w:w="15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1"/>
                <w:szCs w:val="11"/>
                <w:color w:val="auto"/>
              </w:rPr>
            </w:pPr>
          </w:p>
        </w:tc>
        <w:tc>
          <w:tcPr>
            <w:tcW w:w="11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30"/>
              <w:spacing w:after="0" w:line="129" w:lineRule="exact"/>
              <w:rPr>
                <w:sz w:val="20"/>
                <w:szCs w:val="20"/>
                <w:color w:val="auto"/>
              </w:rPr>
            </w:pPr>
            <w:r>
              <w:rPr>
                <w:rFonts w:ascii="Arial" w:cs="Arial" w:eastAsia="Arial" w:hAnsi="Arial"/>
                <w:sz w:val="14"/>
                <w:szCs w:val="14"/>
                <w:b w:val="1"/>
                <w:bCs w:val="1"/>
                <w:color w:val="auto"/>
              </w:rPr>
              <w:t>Increase</w:t>
            </w:r>
          </w:p>
        </w:tc>
        <w:tc>
          <w:tcPr>
            <w:tcW w:w="1560" w:type="dxa"/>
            <w:vAlign w:val="bottom"/>
            <w:gridSpan w:val="2"/>
          </w:tcPr>
          <w:p>
            <w:pPr>
              <w:jc w:val="center"/>
              <w:ind w:right="1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8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rPr>
              <w:t>(Decrease)</w:t>
            </w:r>
          </w:p>
        </w:tc>
        <w:tc>
          <w:tcPr>
            <w:tcW w:w="15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Cost of product revenues</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4840" w:type="dxa"/>
            <w:vAlign w:val="bottom"/>
            <w:gridSpan w:val="2"/>
          </w:tcPr>
          <w:p>
            <w:pPr>
              <w:spacing w:after="0"/>
              <w:rPr>
                <w:sz w:val="20"/>
                <w:szCs w:val="20"/>
                <w:color w:val="auto"/>
              </w:rPr>
            </w:pPr>
            <w:r>
              <w:rPr>
                <w:rFonts w:ascii="Arial" w:cs="Arial" w:eastAsia="Arial" w:hAnsi="Arial"/>
                <w:sz w:val="18"/>
                <w:szCs w:val="18"/>
                <w:color w:val="auto"/>
              </w:rPr>
              <w:t>Cost of service revenues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0"/>
        </w:trPr>
        <w:tc>
          <w:tcPr>
            <w:tcW w:w="4840" w:type="dxa"/>
            <w:vAlign w:val="bottom"/>
            <w:gridSpan w:val="2"/>
          </w:tcPr>
          <w:p>
            <w:pPr>
              <w:spacing w:after="0"/>
              <w:rPr>
                <w:sz w:val="20"/>
                <w:szCs w:val="20"/>
                <w:color w:val="auto"/>
              </w:rPr>
            </w:pPr>
            <w:r>
              <w:rPr>
                <w:rFonts w:ascii="Arial" w:cs="Arial" w:eastAsia="Arial" w:hAnsi="Arial"/>
                <w:sz w:val="18"/>
                <w:szCs w:val="18"/>
                <w:color w:val="auto"/>
              </w:rPr>
              <w:t>Total cost of revenues</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438.6</w:t>
            </w:r>
          </w:p>
        </w:tc>
        <w:tc>
          <w:tcPr>
            <w:tcW w:w="200" w:type="dxa"/>
            <w:vAlign w:val="bottom"/>
          </w:tcPr>
          <w:p>
            <w:pPr>
              <w:spacing w:after="0"/>
              <w:rPr>
                <w:sz w:val="18"/>
                <w:szCs w:val="18"/>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433.8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-419735</wp:posOffset>
            </wp:positionV>
            <wp:extent cx="641223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82"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Cost of revenues increased $4.7 million due to an increase of $17.5 million in cost of service revenues, partially offset by a $12.8 million decrease in cost of product revenues. The cost of service revenue increase was primarily due to increased service revenues, mainly from our government systems segment, causing an $8.8 million increase in cost of</w:t>
      </w:r>
    </w:p>
    <w:p>
      <w:pPr>
        <w:spacing w:after="0" w:line="1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76" w:right="519" w:bottom="1440" w:gutter="0" w:footer="0" w:header="0"/>
        </w:sectPr>
      </w:pPr>
    </w:p>
    <w:bookmarkStart w:id="47" w:name="page48"/>
    <w:bookmarkEnd w:id="47"/>
    <w:p>
      <w:pPr>
        <w:spacing w:after="0" w:line="248" w:lineRule="auto"/>
        <w:rPr>
          <w:sz w:val="20"/>
          <w:szCs w:val="20"/>
          <w:color w:val="auto"/>
        </w:rPr>
      </w:pPr>
      <w:r>
        <w:rPr>
          <w:rFonts w:ascii="Arial" w:cs="Arial" w:eastAsia="Arial" w:hAnsi="Arial"/>
          <w:sz w:val="18"/>
          <w:szCs w:val="18"/>
          <w:color w:val="auto"/>
        </w:rPr>
        <w:t>service revenues on a constant margin basis. The increase in cost of service revenues was further driven by lower margins, primarily from our satellite services segment. The decrease in cost of product revenues was mainly driven by higher margins from our commercial networks segment, primarily the result of the Cisco Settlement described above.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44"/>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138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1"/>
                <w:szCs w:val="11"/>
                <w:color w:val="auto"/>
              </w:rPr>
            </w:pPr>
          </w:p>
        </w:tc>
        <w:tc>
          <w:tcPr>
            <w:tcW w:w="11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1"/>
                <w:szCs w:val="11"/>
                <w:color w:val="auto"/>
              </w:rPr>
            </w:pPr>
          </w:p>
        </w:tc>
        <w:tc>
          <w:tcPr>
            <w:tcW w:w="1380" w:type="dxa"/>
            <w:vAlign w:val="bottom"/>
            <w:gridSpan w:val="2"/>
          </w:tcPr>
          <w:p>
            <w:pPr>
              <w:jc w:val="center"/>
              <w:ind w:right="11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9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6"/>
                <w:szCs w:val="16"/>
                <w:color w:val="auto"/>
              </w:rPr>
            </w:pPr>
          </w:p>
        </w:tc>
        <w:tc>
          <w:tcPr>
            <w:tcW w:w="138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4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177.2</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8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$24.5 million increase in selling, general and administrative (SG&amp;A) expenses reflected an increase in support costs of $23.4 million, driven primarily by acquisition related expenses of approximately $9.5 million (mainly related to the Inmarsat Transaction). SG&amp;A expenses consisted primarily of personnel costs and expenses for business development, marketing and sales, bid and proposal, acquisition and transaction related expenses, facilities, finance, contract administration and general management.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rPr>
              <w:t>Dollar</w:t>
            </w:r>
          </w:p>
        </w:tc>
        <w:tc>
          <w:tcPr>
            <w:tcW w:w="14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2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2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30"/>
              <w:spacing w:after="0" w:line="143" w:lineRule="exact"/>
              <w:rPr>
                <w:sz w:val="20"/>
                <w:szCs w:val="20"/>
                <w:color w:val="auto"/>
              </w:rPr>
            </w:pPr>
            <w:r>
              <w:rPr>
                <w:rFonts w:ascii="Arial" w:cs="Arial" w:eastAsia="Arial" w:hAnsi="Arial"/>
                <w:sz w:val="14"/>
                <w:szCs w:val="14"/>
                <w:b w:val="1"/>
                <w:bCs w:val="1"/>
                <w:color w:val="auto"/>
              </w:rPr>
              <w:t>Increase</w:t>
            </w:r>
          </w:p>
        </w:tc>
        <w:tc>
          <w:tcPr>
            <w:tcW w:w="1480" w:type="dxa"/>
            <w:vAlign w:val="bottom"/>
            <w:gridSpan w:val="2"/>
          </w:tcPr>
          <w:p>
            <w:pPr>
              <w:jc w:val="center"/>
              <w:ind w:right="170"/>
              <w:spacing w:after="0" w:line="14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5"/>
        </w:trPr>
        <w:tc>
          <w:tcPr>
            <w:tcW w:w="48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rPr>
              <w:t>(Decrease)</w:t>
            </w:r>
          </w:p>
        </w:tc>
        <w:tc>
          <w:tcPr>
            <w:tcW w:w="14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Independent research and development</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95" w:lineRule="exact"/>
        <w:rPr>
          <w:sz w:val="20"/>
          <w:szCs w:val="20"/>
          <w:color w:val="auto"/>
        </w:rPr>
      </w:pPr>
    </w:p>
    <w:p>
      <w:pPr>
        <w:ind w:right="600" w:firstLine="509"/>
        <w:spacing w:after="0" w:line="246" w:lineRule="auto"/>
        <w:rPr>
          <w:sz w:val="20"/>
          <w:szCs w:val="20"/>
          <w:color w:val="auto"/>
        </w:rPr>
      </w:pPr>
      <w:r>
        <w:rPr>
          <w:rFonts w:ascii="Arial" w:cs="Arial" w:eastAsia="Arial" w:hAnsi="Arial"/>
          <w:sz w:val="18"/>
          <w:szCs w:val="18"/>
          <w:color w:val="auto"/>
        </w:rPr>
        <w:t>The $ 7.2 million decrease in independent research and development (IR&amp;D) expenses was primarily the result of a $5.8 million decrease in our commercial networks segment (primarily related to next-generation satellite payload technologies).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20 years.</w:t>
      </w:r>
    </w:p>
    <w:p>
      <w:pPr>
        <w:spacing w:after="0"/>
        <w:rPr>
          <w:sz w:val="20"/>
          <w:szCs w:val="20"/>
          <w:color w:val="auto"/>
        </w:rPr>
      </w:pPr>
      <w:r>
        <w:rPr>
          <w:rFonts w:ascii="Arial" w:cs="Arial" w:eastAsia="Arial" w:hAnsi="Arial"/>
          <w:sz w:val="18"/>
          <w:szCs w:val="18"/>
          <w:color w:val="auto"/>
        </w:rPr>
        <w:t>The amortization of acquired intangible assets in the second quarter of fiscal year 2023 was relatively flat compared to the prior year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5"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$6.7 million increase in interest income for the three months ended September 30, 2022 compared to the prior year period was primarily the result of the Cisco Settlement, described above, of which we recorded $6.4 million as interest income. Please refer to Note 1 — Basis of Presentation to our condensed consolidated financial statements for more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5"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 $1.5 million decrease in interest expense for the three months ended September 30, 2022 compared to the prior year period was primarily the result of an increase in the amount of interest capitalized during the second quarter of fiscal year 2023 compared to the prior year period, partially offset by an increase in interest expense related to our senior secured term loan facility (the Term Loan Facility), which was entered into during the fourth quarter of fiscal year 2022.</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Income taxes</w:t>
      </w:r>
    </w:p>
    <w:p>
      <w:pPr>
        <w:spacing w:after="0" w:line="95"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For the three months ended September 30, 2022, we recorded an income tax provision of $76.1 million, resulting in an effective tax rate of 2,236%. The effective tax rate for the period differed from the U.S statutory rate due primarily to the establishment of a valuation allowance on the deferred tax asset for California R&amp;D tax credits that was partially offset by the benefit of federal R&amp;D tax credits. For the three months ended September 30, 2021, we recorded an income tax benefit of $9.1 million, resulting in an effective tax rate of 30%. The effective tax rates for such periods differed from the U.S. statutory rate primarily due to the benefit of federal R&amp;D tax credits.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September 30, 2022 vs. Three Months Ended September 30,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40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1"/>
                <w:szCs w:val="11"/>
                <w:color w:val="auto"/>
              </w:rPr>
            </w:pPr>
          </w:p>
        </w:tc>
        <w:tc>
          <w:tcPr>
            <w:tcW w:w="11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59"/>
              <w:spacing w:after="0" w:line="129"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1"/>
                <w:szCs w:val="11"/>
                <w:color w:val="auto"/>
              </w:rPr>
            </w:pPr>
          </w:p>
        </w:tc>
        <w:tc>
          <w:tcPr>
            <w:tcW w:w="1400" w:type="dxa"/>
            <w:vAlign w:val="bottom"/>
            <w:gridSpan w:val="2"/>
          </w:tcPr>
          <w:p>
            <w:pPr>
              <w:jc w:val="center"/>
              <w:ind w:right="9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40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Segment product revenues</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Segment service revenues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9"/>
        </w:trPr>
        <w:tc>
          <w:tcPr>
            <w:tcW w:w="4860" w:type="dxa"/>
            <w:vAlign w:val="bottom"/>
            <w:gridSpan w:val="2"/>
          </w:tcPr>
          <w:p>
            <w:pPr>
              <w:spacing w:after="0"/>
              <w:rPr>
                <w:sz w:val="20"/>
                <w:szCs w:val="20"/>
                <w:color w:val="auto"/>
              </w:rPr>
            </w:pPr>
            <w:r>
              <w:rPr>
                <w:rFonts w:ascii="Arial" w:cs="Arial" w:eastAsia="Arial" w:hAnsi="Arial"/>
                <w:sz w:val="18"/>
                <w:szCs w:val="18"/>
                <w:color w:val="auto"/>
              </w:rPr>
              <w:t>Total segment revenues</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300.5</w:t>
            </w:r>
          </w:p>
        </w:tc>
        <w:tc>
          <w:tcPr>
            <w:tcW w:w="200" w:type="dxa"/>
            <w:vAlign w:val="bottom"/>
          </w:tcPr>
          <w:p>
            <w:pPr>
              <w:spacing w:after="0"/>
              <w:rPr>
                <w:sz w:val="18"/>
                <w:szCs w:val="18"/>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-419100</wp:posOffset>
            </wp:positionV>
            <wp:extent cx="641223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8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slight increase in our satellite services segment revenues for the three months ended September 30, 2022 compared to the prior year period was primarily due to an increase in our in-flight services business, largely offset by a decline in U.S. fixed broadband revenue due to fewer residential subscribers as we manage our bandwidth capacity in support of our growing mobility services ahead of the ViaSat-3 launch. Our in-flight services business service revenue increased as the number of commercial aircraft receiving our in-flight services through our IFC systems increased, passenger air traffic continued to increase and aircraft that were previously inactive as a result of the COVID-19 pandemic continued to return to service.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96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rPr>
              <w:t>Dollar</w:t>
            </w:r>
          </w:p>
        </w:tc>
        <w:tc>
          <w:tcPr>
            <w:tcW w:w="140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6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gridSpan w:val="3"/>
          </w:tcPr>
          <w:p>
            <w:pPr>
              <w:jc w:val="right"/>
              <w:ind w:right="470"/>
              <w:spacing w:after="0" w:line="129" w:lineRule="exact"/>
              <w:rPr>
                <w:sz w:val="20"/>
                <w:szCs w:val="20"/>
                <w:color w:val="auto"/>
              </w:rPr>
            </w:pPr>
            <w:r>
              <w:rPr>
                <w:rFonts w:ascii="Arial" w:cs="Arial" w:eastAsia="Arial" w:hAnsi="Arial"/>
                <w:sz w:val="14"/>
                <w:szCs w:val="14"/>
                <w:b w:val="1"/>
                <w:bCs w:val="1"/>
                <w:color w:val="auto"/>
              </w:rPr>
              <w:t>September 30,</w:t>
            </w:r>
          </w:p>
        </w:tc>
        <w:tc>
          <w:tcPr>
            <w:tcW w:w="122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10"/>
              <w:spacing w:after="0" w:line="129" w:lineRule="exact"/>
              <w:rPr>
                <w:sz w:val="20"/>
                <w:szCs w:val="20"/>
                <w:color w:val="auto"/>
              </w:rPr>
            </w:pPr>
            <w:r>
              <w:rPr>
                <w:rFonts w:ascii="Arial" w:cs="Arial" w:eastAsia="Arial" w:hAnsi="Arial"/>
                <w:sz w:val="14"/>
                <w:szCs w:val="14"/>
                <w:b w:val="1"/>
                <w:bCs w:val="1"/>
                <w:color w:val="auto"/>
              </w:rPr>
              <w:t>Increase</w:t>
            </w:r>
          </w:p>
        </w:tc>
        <w:tc>
          <w:tcPr>
            <w:tcW w:w="1400" w:type="dxa"/>
            <w:vAlign w:val="bottom"/>
            <w:gridSpan w:val="2"/>
          </w:tcPr>
          <w:p>
            <w:pPr>
              <w:jc w:val="center"/>
              <w:ind w:right="15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100" w:type="dxa"/>
            <w:vAlign w:val="bottom"/>
            <w:gridSpan w:val="3"/>
          </w:tcPr>
          <w:p>
            <w:pPr>
              <w:jc w:val="center"/>
              <w:ind w:right="70"/>
              <w:spacing w:after="0"/>
              <w:rPr>
                <w:sz w:val="20"/>
                <w:szCs w:val="20"/>
                <w:color w:val="auto"/>
              </w:rPr>
            </w:pPr>
            <w:r>
              <w:rPr>
                <w:rFonts w:ascii="Arial" w:cs="Arial" w:eastAsia="Arial" w:hAnsi="Arial"/>
                <w:sz w:val="14"/>
                <w:szCs w:val="14"/>
                <w:b w:val="1"/>
                <w:bCs w:val="1"/>
                <w:color w:val="auto"/>
              </w:rPr>
              <w:t>(Decrease)</w:t>
            </w:r>
          </w:p>
        </w:tc>
        <w:tc>
          <w:tcPr>
            <w:tcW w:w="140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Segment operating profit (loss)</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45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60" w:type="dxa"/>
            <w:vAlign w:val="bottom"/>
          </w:tcPr>
          <w:p>
            <w:pPr>
              <w:spacing w:after="0"/>
              <w:rPr>
                <w:sz w:val="18"/>
                <w:szCs w:val="18"/>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8"/>
                <w:szCs w:val="18"/>
                <w:color w:val="auto"/>
              </w:rPr>
              <w:t>(2 )%</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-273685</wp:posOffset>
            </wp:positionV>
            <wp:extent cx="641223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95"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The change in our satellite services segment operating profit to an operating loss was driven primarily by lower earnings contributions of $10.9 million due to lower contribution from our fixed broadband services business, higher SG&amp;A costs of $9.6 million mainly attributable to acquisition expenses related to the Inmarsat Transaction, growing expenses associated with activating more of the ViaSat-3 ground network and international activities, and increased expenses as a result of supply chain shortages.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39"/>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1860" w:type="dxa"/>
            <w:vAlign w:val="bottom"/>
            <w:gridSpan w:val="2"/>
          </w:tcPr>
          <w:p>
            <w:pPr>
              <w:jc w:val="center"/>
              <w:ind w:right="59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1"/>
                <w:szCs w:val="11"/>
                <w:color w:val="auto"/>
              </w:rPr>
            </w:pPr>
          </w:p>
        </w:tc>
        <w:tc>
          <w:tcPr>
            <w:tcW w:w="11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39"/>
              <w:spacing w:after="0" w:line="129"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1"/>
                <w:szCs w:val="11"/>
                <w:color w:val="auto"/>
              </w:rPr>
            </w:pPr>
          </w:p>
        </w:tc>
        <w:tc>
          <w:tcPr>
            <w:tcW w:w="1860" w:type="dxa"/>
            <w:vAlign w:val="bottom"/>
            <w:gridSpan w:val="2"/>
          </w:tcPr>
          <w:p>
            <w:pPr>
              <w:jc w:val="center"/>
              <w:ind w:right="59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9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6"/>
                <w:szCs w:val="16"/>
                <w:color w:val="auto"/>
              </w:rPr>
            </w:pPr>
          </w:p>
        </w:tc>
        <w:tc>
          <w:tcPr>
            <w:tcW w:w="1860" w:type="dxa"/>
            <w:vAlign w:val="bottom"/>
            <w:gridSpan w:val="2"/>
          </w:tcPr>
          <w:p>
            <w:pPr>
              <w:jc w:val="center"/>
              <w:ind w:right="59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Segment product revenues</w:t>
            </w:r>
          </w:p>
        </w:tc>
        <w:tc>
          <w:tcPr>
            <w:tcW w:w="100" w:type="dxa"/>
            <w:vAlign w:val="bottom"/>
          </w:tcPr>
          <w:p>
            <w:pPr>
              <w:spacing w:after="0"/>
              <w:rPr>
                <w:sz w:val="18"/>
                <w:szCs w:val="18"/>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Segment service revenues</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60" w:type="dxa"/>
            <w:vAlign w:val="bottom"/>
            <w:gridSpan w:val="3"/>
          </w:tcPr>
          <w:p>
            <w:pPr>
              <w:jc w:val="right"/>
              <w:ind w:right="39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Total segment revenues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18"/>
                <w:szCs w:val="18"/>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45.2</w:t>
            </w:r>
          </w:p>
        </w:tc>
        <w:tc>
          <w:tcPr>
            <w:tcW w:w="2060" w:type="dxa"/>
            <w:vAlign w:val="bottom"/>
            <w:gridSpan w:val="3"/>
          </w:tcPr>
          <w:p>
            <w:pPr>
              <w:jc w:val="right"/>
              <w:ind w:right="39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635"/>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49</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-899160</wp:posOffset>
            </wp:positionV>
            <wp:extent cx="641223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-616585</wp:posOffset>
            </wp:positionV>
            <wp:extent cx="641223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ind w:left="520"/>
        <w:spacing w:after="0"/>
        <w:rPr>
          <w:sz w:val="20"/>
          <w:szCs w:val="20"/>
          <w:color w:val="auto"/>
        </w:rPr>
      </w:pPr>
      <w:r>
        <w:rPr>
          <w:rFonts w:ascii="Arial" w:cs="Arial" w:eastAsia="Arial" w:hAnsi="Arial"/>
          <w:sz w:val="18"/>
          <w:szCs w:val="18"/>
          <w:color w:val="auto"/>
        </w:rPr>
        <w:t>Our commercial networks segment revenues increased by $45.2 million, due to a $40.9 million increase in product revenues and 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$4.3 million increase in service revenues. The increase in product revenues was primarily the result of the Cisco Settlement described above,</w:t>
      </w:r>
    </w:p>
    <w:p>
      <w:pPr>
        <w:spacing w:after="0" w:line="234" w:lineRule="auto"/>
        <w:rPr>
          <w:sz w:val="20"/>
          <w:szCs w:val="20"/>
          <w:color w:val="auto"/>
        </w:rPr>
      </w:pPr>
      <w:r>
        <w:rPr>
          <w:rFonts w:ascii="Arial" w:cs="Arial" w:eastAsia="Arial" w:hAnsi="Arial"/>
          <w:sz w:val="18"/>
          <w:szCs w:val="18"/>
          <w:color w:val="auto"/>
        </w:rPr>
        <w:t>of which we recorded $55.8 million as product revenue in our commercial networks segment (see Note 1 — Basis of Presentation to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 for more information), partially offset by a decrease of $14.3 million in mobile broadband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satellite communication systems products, related to lower IFC terminal shipments resulting mainly from delayed aircraft deliveries to our</w:t>
      </w:r>
    </w:p>
    <w:p>
      <w:pPr>
        <w:spacing w:after="0" w:line="234" w:lineRule="auto"/>
        <w:rPr>
          <w:sz w:val="20"/>
          <w:szCs w:val="20"/>
          <w:color w:val="auto"/>
        </w:rPr>
      </w:pPr>
      <w:r>
        <w:rPr>
          <w:rFonts w:ascii="Arial" w:cs="Arial" w:eastAsia="Arial" w:hAnsi="Arial"/>
          <w:sz w:val="18"/>
          <w:szCs w:val="18"/>
          <w:color w:val="auto"/>
        </w:rPr>
        <w:t>commercial airline customers. The increase in service revenues was primarily driven by an increase in mobile broadband satellite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communication systems services.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20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42"/>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32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60" w:type="dxa"/>
            <w:vAlign w:val="bottom"/>
          </w:tcPr>
          <w:p>
            <w:pPr>
              <w:spacing w:after="0"/>
              <w:rPr>
                <w:sz w:val="11"/>
                <w:szCs w:val="11"/>
                <w:color w:val="auto"/>
              </w:rPr>
            </w:pPr>
          </w:p>
        </w:tc>
        <w:tc>
          <w:tcPr>
            <w:tcW w:w="1400" w:type="dxa"/>
            <w:vAlign w:val="bottom"/>
            <w:gridSpan w:val="2"/>
          </w:tcPr>
          <w:p>
            <w:pPr>
              <w:jc w:val="center"/>
              <w:ind w:right="281"/>
              <w:spacing w:after="0" w:line="129" w:lineRule="exact"/>
              <w:rPr>
                <w:sz w:val="20"/>
                <w:szCs w:val="20"/>
                <w:color w:val="auto"/>
              </w:rPr>
            </w:pPr>
            <w:r>
              <w:rPr>
                <w:rFonts w:ascii="Arial" w:cs="Arial" w:eastAsia="Arial" w:hAnsi="Arial"/>
                <w:sz w:val="14"/>
                <w:szCs w:val="14"/>
                <w:b w:val="1"/>
                <w:bCs w:val="1"/>
                <w:color w:val="auto"/>
              </w:rPr>
              <w:t>September 30,</w:t>
            </w:r>
          </w:p>
        </w:tc>
        <w:tc>
          <w:tcPr>
            <w:tcW w:w="14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1"/>
                <w:szCs w:val="11"/>
                <w:color w:val="auto"/>
              </w:rPr>
            </w:pPr>
          </w:p>
        </w:tc>
        <w:tc>
          <w:tcPr>
            <w:tcW w:w="8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1"/>
                <w:szCs w:val="11"/>
                <w:color w:val="auto"/>
              </w:rPr>
            </w:pPr>
          </w:p>
        </w:tc>
        <w:tc>
          <w:tcPr>
            <w:tcW w:w="1320" w:type="dxa"/>
            <w:vAlign w:val="bottom"/>
            <w:gridSpan w:val="2"/>
          </w:tcPr>
          <w:p>
            <w:pPr>
              <w:jc w:val="center"/>
              <w:ind w:right="11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42"/>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32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Segment operating profit (loss)</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tcBorders>
          </w:tcPr>
          <w:p>
            <w:pPr>
              <w:jc w:val="right"/>
              <w:ind w:right="742"/>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46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9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(39 )%</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-273685</wp:posOffset>
            </wp:positionV>
            <wp:extent cx="641223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82"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The decrease in our commercial networks segment operating loss was primarily driven by higher earnings contributions of $53.6 million, due to an increase in revenues, as discussed above. Additionally, the decrease in our commercial networks segment operating loss was further driven by a decrease of $5.8 million in IR&amp;D expenses (primarily related to next-generation satellite payload technologies). The decrease in commercial networks segment operating loss was partially offset by higher SG&amp;A costs of $8.3 million, which includes legal and other expenses related to the Cisco Settlement, described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rPr>
              <w:t>Dollar</w:t>
            </w:r>
          </w:p>
        </w:tc>
        <w:tc>
          <w:tcPr>
            <w:tcW w:w="15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1"/>
                <w:szCs w:val="11"/>
                <w:color w:val="auto"/>
              </w:rPr>
            </w:pPr>
          </w:p>
        </w:tc>
        <w:tc>
          <w:tcPr>
            <w:tcW w:w="11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50"/>
              <w:spacing w:after="0" w:line="129" w:lineRule="exact"/>
              <w:rPr>
                <w:sz w:val="20"/>
                <w:szCs w:val="20"/>
                <w:color w:val="auto"/>
              </w:rPr>
            </w:pPr>
            <w:r>
              <w:rPr>
                <w:rFonts w:ascii="Arial" w:cs="Arial" w:eastAsia="Arial" w:hAnsi="Arial"/>
                <w:sz w:val="14"/>
                <w:szCs w:val="14"/>
                <w:b w:val="1"/>
                <w:bCs w:val="1"/>
                <w:color w:val="auto"/>
              </w:rPr>
              <w:t>Increase</w:t>
            </w:r>
          </w:p>
        </w:tc>
        <w:tc>
          <w:tcPr>
            <w:tcW w:w="1520" w:type="dxa"/>
            <w:vAlign w:val="bottom"/>
            <w:gridSpan w:val="2"/>
          </w:tcPr>
          <w:p>
            <w:pPr>
              <w:jc w:val="center"/>
              <w:ind w:right="1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8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rPr>
              <w:t>(Decrease)</w:t>
            </w:r>
          </w:p>
        </w:tc>
        <w:tc>
          <w:tcPr>
            <w:tcW w:w="15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Segment product revenues</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4840" w:type="dxa"/>
            <w:vAlign w:val="bottom"/>
            <w:gridSpan w:val="2"/>
          </w:tcPr>
          <w:p>
            <w:pPr>
              <w:spacing w:after="0"/>
              <w:rPr>
                <w:sz w:val="20"/>
                <w:szCs w:val="20"/>
                <w:color w:val="auto"/>
              </w:rPr>
            </w:pPr>
            <w:r>
              <w:rPr>
                <w:rFonts w:ascii="Arial" w:cs="Arial" w:eastAsia="Arial" w:hAnsi="Arial"/>
                <w:sz w:val="18"/>
                <w:szCs w:val="18"/>
                <w:color w:val="auto"/>
              </w:rPr>
              <w:t>Segment service revenues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10"/>
        </w:trPr>
        <w:tc>
          <w:tcPr>
            <w:tcW w:w="4840" w:type="dxa"/>
            <w:vAlign w:val="bottom"/>
            <w:gridSpan w:val="2"/>
          </w:tcPr>
          <w:p>
            <w:pPr>
              <w:spacing w:after="0"/>
              <w:rPr>
                <w:sz w:val="20"/>
                <w:szCs w:val="20"/>
                <w:color w:val="auto"/>
              </w:rPr>
            </w:pPr>
            <w:r>
              <w:rPr>
                <w:rFonts w:ascii="Arial" w:cs="Arial" w:eastAsia="Arial" w:hAnsi="Arial"/>
                <w:sz w:val="18"/>
                <w:szCs w:val="18"/>
                <w:color w:val="auto"/>
              </w:rPr>
              <w:t>Total segment revenues</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176.1</w:t>
            </w:r>
          </w:p>
        </w:tc>
        <w:tc>
          <w:tcPr>
            <w:tcW w:w="22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174.2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-419100</wp:posOffset>
            </wp:positionV>
            <wp:extent cx="641223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8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government systems segment revenues increased by $ 1.9 million due to a $9.0 million increase in service revenues, partially offset by a $ 7.1 million decrease in product revenues. The service revenue increase was primarily due to a $ 9.2 million increase in government satellite communication systems services. The decrease in product revenues was mainly due to a $7.4 million decrease in government satellite communication systems, and a $2.6 million decrease in tactical satcom radio products, partially offset by a $3.5 million increase in cybersecurity and information assurance products. Our government systems segment continued to show some impacts from the COVID-19 pandemic, due to continuing certification delays and supply chain component shortages, but government systems segment awards remained strong through the end of the second quarter of fiscal year 2023. As noted above, all government systems segment results reported herein exclude the Link-16 TDL Business, which are reported as discontinued operations in our condensed consolidated statements of operations for all periods presented.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98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rPr>
              <w:t>Dollar</w:t>
            </w:r>
          </w:p>
        </w:tc>
        <w:tc>
          <w:tcPr>
            <w:tcW w:w="14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30"/>
              <w:spacing w:after="0" w:line="129" w:lineRule="exact"/>
              <w:rPr>
                <w:sz w:val="20"/>
                <w:szCs w:val="20"/>
                <w:color w:val="auto"/>
              </w:rPr>
            </w:pPr>
            <w:r>
              <w:rPr>
                <w:rFonts w:ascii="Arial" w:cs="Arial" w:eastAsia="Arial" w:hAnsi="Arial"/>
                <w:sz w:val="14"/>
                <w:szCs w:val="14"/>
                <w:b w:val="1"/>
                <w:bCs w:val="1"/>
                <w:color w:val="auto"/>
              </w:rPr>
              <w:t>Increase</w:t>
            </w:r>
          </w:p>
        </w:tc>
        <w:tc>
          <w:tcPr>
            <w:tcW w:w="1440" w:type="dxa"/>
            <w:vAlign w:val="bottom"/>
            <w:gridSpan w:val="2"/>
          </w:tcPr>
          <w:p>
            <w:pPr>
              <w:jc w:val="center"/>
              <w:ind w:right="1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5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140" w:type="dxa"/>
            <w:vAlign w:val="bottom"/>
            <w:gridSpan w:val="3"/>
          </w:tcPr>
          <w:p>
            <w:pPr>
              <w:jc w:val="center"/>
              <w:ind w:right="70"/>
              <w:spacing w:after="0"/>
              <w:rPr>
                <w:sz w:val="20"/>
                <w:szCs w:val="20"/>
                <w:color w:val="auto"/>
              </w:rPr>
            </w:pPr>
            <w:r>
              <w:rPr>
                <w:rFonts w:ascii="Arial" w:cs="Arial" w:eastAsia="Arial" w:hAnsi="Arial"/>
                <w:sz w:val="14"/>
                <w:szCs w:val="14"/>
                <w:b w:val="1"/>
                <w:bCs w:val="1"/>
                <w:color w:val="auto"/>
              </w:rPr>
              <w:t>(Decrease)</w:t>
            </w:r>
          </w:p>
        </w:tc>
        <w:tc>
          <w:tcPr>
            <w:tcW w:w="14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Segment operating profit (loss)</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45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9 %</w:t>
            </w:r>
          </w:p>
        </w:tc>
        <w:tc>
          <w:tcPr>
            <w:tcW w:w="1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12 %</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-273685</wp:posOffset>
            </wp:positionV>
            <wp:extent cx="641223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82"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$5.3 million decrease in our government systems segment operating profit was primarily driven by a $6.7 million increase in SG&amp;A costs (primarily related to acquisition expenses related to the Inmarsat Transaction). The decrease in operating profit was partially offset by lower IR&amp;D expenses of $1.3 million.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ind w:right="4220"/>
        <w:spacing w:after="0" w:line="365" w:lineRule="auto"/>
        <w:rPr>
          <w:sz w:val="20"/>
          <w:szCs w:val="20"/>
          <w:color w:val="auto"/>
        </w:rPr>
      </w:pPr>
      <w:r>
        <w:rPr>
          <w:rFonts w:ascii="Arial" w:cs="Arial" w:eastAsia="Arial" w:hAnsi="Arial"/>
          <w:sz w:val="18"/>
          <w:szCs w:val="18"/>
          <w:b w:val="1"/>
          <w:bCs w:val="1"/>
          <w:color w:val="auto"/>
        </w:rPr>
        <w:t xml:space="preserve">Six Months Ended September 30, 2022 vs. Six Months Ended September 30, 2021 </w:t>
      </w:r>
      <w:r>
        <w:rPr>
          <w:rFonts w:ascii="Arial" w:cs="Arial" w:eastAsia="Arial" w:hAnsi="Arial"/>
          <w:sz w:val="18"/>
          <w:szCs w:val="18"/>
          <w:i w:val="1"/>
          <w:iCs w:val="1"/>
          <w:color w:val="auto"/>
        </w:rPr>
        <w:t>Revenues</w:t>
      </w:r>
    </w:p>
    <w:p>
      <w:pPr>
        <w:spacing w:after="0" w:line="69"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rPr>
              <w:t>Dollar</w:t>
            </w:r>
          </w:p>
        </w:tc>
        <w:tc>
          <w:tcPr>
            <w:tcW w:w="15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1"/>
                <w:szCs w:val="11"/>
                <w:color w:val="auto"/>
              </w:rPr>
            </w:pPr>
          </w:p>
        </w:tc>
        <w:tc>
          <w:tcPr>
            <w:tcW w:w="11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30"/>
              <w:spacing w:after="0" w:line="129" w:lineRule="exact"/>
              <w:rPr>
                <w:sz w:val="20"/>
                <w:szCs w:val="20"/>
                <w:color w:val="auto"/>
              </w:rPr>
            </w:pPr>
            <w:r>
              <w:rPr>
                <w:rFonts w:ascii="Arial" w:cs="Arial" w:eastAsia="Arial" w:hAnsi="Arial"/>
                <w:sz w:val="14"/>
                <w:szCs w:val="14"/>
                <w:b w:val="1"/>
                <w:bCs w:val="1"/>
                <w:color w:val="auto"/>
              </w:rPr>
              <w:t>Increase</w:t>
            </w:r>
          </w:p>
        </w:tc>
        <w:tc>
          <w:tcPr>
            <w:tcW w:w="1560" w:type="dxa"/>
            <w:vAlign w:val="bottom"/>
            <w:gridSpan w:val="2"/>
          </w:tcPr>
          <w:p>
            <w:pPr>
              <w:jc w:val="center"/>
              <w:ind w:right="1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rPr>
              <w:t>(Decrease)</w:t>
            </w:r>
          </w:p>
        </w:tc>
        <w:tc>
          <w:tcPr>
            <w:tcW w:w="15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Product revenues</w:t>
            </w:r>
          </w:p>
        </w:tc>
        <w:tc>
          <w:tcPr>
            <w:tcW w:w="100" w:type="dxa"/>
            <w:vAlign w:val="bottom"/>
          </w:tcPr>
          <w:p>
            <w:pPr>
              <w:spacing w:after="0"/>
              <w:rPr>
                <w:sz w:val="18"/>
                <w:szCs w:val="18"/>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424.1</w:t>
            </w: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426.7</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4880" w:type="dxa"/>
            <w:vAlign w:val="bottom"/>
            <w:gridSpan w:val="2"/>
          </w:tcPr>
          <w:p>
            <w:pPr>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753.2</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2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9"/>
        </w:trPr>
        <w:tc>
          <w:tcPr>
            <w:tcW w:w="48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1,228.1</w:t>
            </w:r>
          </w:p>
        </w:tc>
        <w:tc>
          <w:tcPr>
            <w:tcW w:w="22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1,179.9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48.2</w:t>
            </w:r>
          </w:p>
        </w:tc>
        <w:tc>
          <w:tcPr>
            <w:tcW w:w="2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-419735</wp:posOffset>
            </wp:positionV>
            <wp:extent cx="641223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95"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Our total revenues grew by $ 48.2 million as a result of a $50.8 million increase in service revenues, partially offset by a $2.6 million decrease in product revenues. The service revenue increase was due to increases of $38.4 million in our satellite services segment, $ 6.5 million in our commercial networks segment, and $5.9 million in our government systems segment. The decrease in product revenues was driven primarily by a $35.5 million decrease in our government systems segment, partially offset by a $32.9 million increase in our commercial networks segment, primarily the result of the Cisco Settlement described above, of which we recorded $55.8 million as product revenue in our commercial networks segment (see Note 1 — Basis of Presentation to our condensed consolidated financial statements for more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rPr>
              <w:t>Dollar</w:t>
            </w:r>
          </w:p>
        </w:tc>
        <w:tc>
          <w:tcPr>
            <w:tcW w:w="15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1"/>
                <w:szCs w:val="11"/>
                <w:color w:val="auto"/>
              </w:rPr>
            </w:pPr>
          </w:p>
        </w:tc>
        <w:tc>
          <w:tcPr>
            <w:tcW w:w="11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30"/>
              <w:spacing w:after="0" w:line="129" w:lineRule="exact"/>
              <w:rPr>
                <w:sz w:val="20"/>
                <w:szCs w:val="20"/>
                <w:color w:val="auto"/>
              </w:rPr>
            </w:pPr>
            <w:r>
              <w:rPr>
                <w:rFonts w:ascii="Arial" w:cs="Arial" w:eastAsia="Arial" w:hAnsi="Arial"/>
                <w:sz w:val="14"/>
                <w:szCs w:val="14"/>
                <w:b w:val="1"/>
                <w:bCs w:val="1"/>
                <w:color w:val="auto"/>
              </w:rPr>
              <w:t>Increase</w:t>
            </w:r>
          </w:p>
        </w:tc>
        <w:tc>
          <w:tcPr>
            <w:tcW w:w="1520" w:type="dxa"/>
            <w:vAlign w:val="bottom"/>
            <w:gridSpan w:val="2"/>
          </w:tcPr>
          <w:p>
            <w:pPr>
              <w:jc w:val="center"/>
              <w:ind w:right="1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rPr>
              <w:t>(Decrease)</w:t>
            </w:r>
          </w:p>
        </w:tc>
        <w:tc>
          <w:tcPr>
            <w:tcW w:w="15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Cost of product revenues</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318.6</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Cost of service revenues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480.8</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0"/>
        </w:trPr>
        <w:tc>
          <w:tcPr>
            <w:tcW w:w="4860" w:type="dxa"/>
            <w:vAlign w:val="bottom"/>
            <w:gridSpan w:val="2"/>
          </w:tcPr>
          <w:p>
            <w:pPr>
              <w:spacing w:after="0"/>
              <w:rPr>
                <w:sz w:val="20"/>
                <w:szCs w:val="20"/>
                <w:color w:val="auto"/>
              </w:rPr>
            </w:pPr>
            <w:r>
              <w:rPr>
                <w:rFonts w:ascii="Arial" w:cs="Arial" w:eastAsia="Arial" w:hAnsi="Arial"/>
                <w:sz w:val="18"/>
                <w:szCs w:val="18"/>
                <w:color w:val="auto"/>
              </w:rPr>
              <w:t>Total cost of revenues</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854.6</w:t>
            </w:r>
          </w:p>
        </w:tc>
        <w:tc>
          <w:tcPr>
            <w:tcW w:w="220" w:type="dxa"/>
            <w:vAlign w:val="bottom"/>
          </w:tcPr>
          <w:p>
            <w:pPr>
              <w:spacing w:after="0"/>
              <w:rPr>
                <w:sz w:val="18"/>
                <w:szCs w:val="18"/>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828.7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-419735</wp:posOffset>
            </wp:positionV>
            <wp:extent cx="641223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8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Cost of revenues increased by $25.9 million due to an increase of $55.2 million in cost of service revenues, partially offset by a $29.3 million decrease in cost of product revenues. The cost of service revenue increase was primarily due to increased service revenues, mainly from our satellite services segment, causing a $32.4 million increase in cost of service revenues on a constant margin basis. The increase in cost of service revenues was also driven by lower margins, also from our satellite services segment. The decrease in cost of product revenues was mostly driven by higher margins, primarily from our commercial networks segment, primarily the result of the Cisco Settlement described above.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44"/>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138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1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44"/>
              <w:spacing w:after="0" w:line="143"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2"/>
                <w:szCs w:val="12"/>
                <w:color w:val="auto"/>
              </w:rPr>
            </w:pPr>
          </w:p>
        </w:tc>
        <w:tc>
          <w:tcPr>
            <w:tcW w:w="1380" w:type="dxa"/>
            <w:vAlign w:val="bottom"/>
            <w:gridSpan w:val="2"/>
          </w:tcPr>
          <w:p>
            <w:pPr>
              <w:jc w:val="center"/>
              <w:ind w:right="110"/>
              <w:spacing w:after="0" w:line="14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5"/>
        </w:trPr>
        <w:tc>
          <w:tcPr>
            <w:tcW w:w="49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5"/>
                <w:szCs w:val="15"/>
                <w:color w:val="auto"/>
              </w:rPr>
            </w:pPr>
          </w:p>
        </w:tc>
        <w:tc>
          <w:tcPr>
            <w:tcW w:w="138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4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348.8</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2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95"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The $45.4 million increase in SG&amp;A expenses reflected an increase in support costs of $37.4 million, driven primarily by acquisition-related expenses of $15.6 million (mainly related to the Inmarsat Transaction). The increase in SG&amp;A expenses was also driven by higher selling costs of $5.3 million, reflected primarily in our commercial networks and satellite services segments, and higher bid and proposal costs of $2.7 million. SG&amp;A expenses consisted primarily of personnel costs and expenses for business development, marketing and sales, bid and proposal, acquisition and transaction related expenses, facilities, finance, contract administration and general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1"/>
              <w:spacing w:after="0"/>
              <w:rPr>
                <w:sz w:val="20"/>
                <w:szCs w:val="20"/>
                <w:color w:val="auto"/>
              </w:rPr>
            </w:pPr>
            <w:r>
              <w:rPr>
                <w:rFonts w:ascii="Arial" w:cs="Arial" w:eastAsia="Arial" w:hAnsi="Arial"/>
                <w:sz w:val="14"/>
                <w:szCs w:val="14"/>
                <w:b w:val="1"/>
                <w:bCs w:val="1"/>
                <w:color w:val="auto"/>
              </w:rPr>
              <w:t>Dollar</w:t>
            </w:r>
          </w:p>
        </w:tc>
        <w:tc>
          <w:tcPr>
            <w:tcW w:w="15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1"/>
                <w:szCs w:val="11"/>
                <w:color w:val="auto"/>
              </w:rPr>
            </w:pPr>
          </w:p>
        </w:tc>
        <w:tc>
          <w:tcPr>
            <w:tcW w:w="12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21"/>
              <w:spacing w:after="0" w:line="129" w:lineRule="exact"/>
              <w:rPr>
                <w:sz w:val="20"/>
                <w:szCs w:val="20"/>
                <w:color w:val="auto"/>
              </w:rPr>
            </w:pPr>
            <w:r>
              <w:rPr>
                <w:rFonts w:ascii="Arial" w:cs="Arial" w:eastAsia="Arial" w:hAnsi="Arial"/>
                <w:sz w:val="14"/>
                <w:szCs w:val="14"/>
                <w:b w:val="1"/>
                <w:bCs w:val="1"/>
                <w:color w:val="auto"/>
              </w:rPr>
              <w:t>Increase</w:t>
            </w:r>
          </w:p>
        </w:tc>
        <w:tc>
          <w:tcPr>
            <w:tcW w:w="1560" w:type="dxa"/>
            <w:vAlign w:val="bottom"/>
            <w:gridSpan w:val="2"/>
          </w:tcPr>
          <w:p>
            <w:pPr>
              <w:jc w:val="center"/>
              <w:ind w:right="13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7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1"/>
              <w:spacing w:after="0"/>
              <w:rPr>
                <w:sz w:val="20"/>
                <w:szCs w:val="20"/>
                <w:color w:val="auto"/>
              </w:rPr>
            </w:pPr>
            <w:r>
              <w:rPr>
                <w:rFonts w:ascii="Arial" w:cs="Arial" w:eastAsia="Arial" w:hAnsi="Arial"/>
                <w:sz w:val="14"/>
                <w:szCs w:val="14"/>
                <w:b w:val="1"/>
                <w:bCs w:val="1"/>
                <w:color w:val="auto"/>
              </w:rPr>
              <w:t>(Decrease)</w:t>
            </w:r>
          </w:p>
        </w:tc>
        <w:tc>
          <w:tcPr>
            <w:tcW w:w="15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Independent research and development</w:t>
            </w: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82" w:lineRule="exact"/>
        <w:rPr>
          <w:sz w:val="20"/>
          <w:szCs w:val="20"/>
          <w:color w:val="auto"/>
        </w:rPr>
      </w:pPr>
    </w:p>
    <w:p>
      <w:pPr>
        <w:jc w:val="both"/>
        <w:ind w:right="380" w:firstLine="509"/>
        <w:spacing w:after="0" w:line="246" w:lineRule="auto"/>
        <w:rPr>
          <w:sz w:val="20"/>
          <w:szCs w:val="20"/>
          <w:color w:val="auto"/>
        </w:rPr>
      </w:pPr>
      <w:r>
        <w:rPr>
          <w:rFonts w:ascii="Arial" w:cs="Arial" w:eastAsia="Arial" w:hAnsi="Arial"/>
          <w:sz w:val="18"/>
          <w:szCs w:val="18"/>
          <w:color w:val="auto"/>
        </w:rPr>
        <w:t>The $6.0 million decrease in IR&amp;D expenses was mainly the result of a decrease of $6.2 million in IR&amp;D efforts in our commercial networks segment (primarily related to next-generation satellite payload technologies).</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5"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20 years. The $1.6 million increase in amortization of acquired intangible assets in the first six months of fiscal year 2023 compared to the prior year period was primarily related to the amortization of new intangibles acquired as a result of recent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5"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The $6.8 million increase in interest income for the six months ended September 30, 2022 compared to the prior year period was primarily the result of the Cisco Settlement described above, of which we recorded $6.4 million as interest income. Please refer to Note 1 — Basis of Presentation to our condensed consolidated financial statements for more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5"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$1.9 million decrease in interest expense in the six months ended September 30, 2022 compared to the prior year period was primarily due to an increase in the amount of interest capitalized during the first six months of fiscal year 2023 compared to the prior year period, partially offset by an increase in interest expense related to our Term Loan Facility, which was entered into during the fourth quarter of fiscal year 2022.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5"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For the six months ended September 30, 2022, we recorded an income tax provision of $52.5 million, resulting in an effective tax rate of negative 88%. The effective tax rate for the period differed from the U.S. statutory rate due primarily to the establishment of a valuation allowance on the deferred tax asset for California R&amp;D tax credits that was partially offset by the benefit of federal R&amp;D tax credits. For the six months ended September 30, 2021, we recorded an income tax benefit of $19.5 million, resulting in an effective tax rate of 42%. The effective tax rate for the period differed from the U.S. statutory rate due primarily to the benefit of federal R&amp;D tax credits and the reversal of a deferred tax liability recorded for EBI's outside basis difference upon assertion made during the first quarter of fiscal year 2022 to indefinitely reinvest future earnings.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Six Months Ended September 30, 2022 vs. Six Months Ended September 30, 2021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39"/>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40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0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1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9"/>
              <w:spacing w:after="0" w:line="143"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2"/>
                <w:szCs w:val="12"/>
                <w:color w:val="auto"/>
              </w:rPr>
            </w:pPr>
          </w:p>
        </w:tc>
        <w:tc>
          <w:tcPr>
            <w:tcW w:w="1400" w:type="dxa"/>
            <w:vAlign w:val="bottom"/>
            <w:gridSpan w:val="2"/>
          </w:tcPr>
          <w:p>
            <w:pPr>
              <w:jc w:val="center"/>
              <w:ind w:right="90"/>
              <w:spacing w:after="0" w:line="14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5"/>
        </w:trPr>
        <w:tc>
          <w:tcPr>
            <w:tcW w:w="49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5"/>
                <w:szCs w:val="15"/>
                <w:color w:val="auto"/>
              </w:rPr>
            </w:pPr>
          </w:p>
        </w:tc>
        <w:tc>
          <w:tcPr>
            <w:tcW w:w="140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Segment product revenues</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4900" w:type="dxa"/>
            <w:vAlign w:val="bottom"/>
            <w:gridSpan w:val="2"/>
          </w:tcPr>
          <w:p>
            <w:pPr>
              <w:spacing w:after="0"/>
              <w:rPr>
                <w:sz w:val="20"/>
                <w:szCs w:val="20"/>
                <w:color w:val="auto"/>
              </w:rPr>
            </w:pPr>
            <w:r>
              <w:rPr>
                <w:rFonts w:ascii="Arial" w:cs="Arial" w:eastAsia="Arial" w:hAnsi="Arial"/>
                <w:sz w:val="18"/>
                <w:szCs w:val="18"/>
                <w:color w:val="auto"/>
              </w:rPr>
              <w:t>Segment service revenues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574.2</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0"/>
        </w:trPr>
        <w:tc>
          <w:tcPr>
            <w:tcW w:w="4900" w:type="dxa"/>
            <w:vAlign w:val="bottom"/>
            <w:gridSpan w:val="2"/>
          </w:tcPr>
          <w:p>
            <w:pPr>
              <w:spacing w:after="0"/>
              <w:rPr>
                <w:sz w:val="20"/>
                <w:szCs w:val="20"/>
                <w:color w:val="auto"/>
              </w:rPr>
            </w:pPr>
            <w:r>
              <w:rPr>
                <w:rFonts w:ascii="Arial" w:cs="Arial" w:eastAsia="Arial" w:hAnsi="Arial"/>
                <w:sz w:val="18"/>
                <w:szCs w:val="18"/>
                <w:color w:val="auto"/>
              </w:rPr>
              <w:t>Total segment revenues</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612.6</w:t>
            </w:r>
          </w:p>
        </w:tc>
        <w:tc>
          <w:tcPr>
            <w:tcW w:w="220" w:type="dxa"/>
            <w:vAlign w:val="bottom"/>
          </w:tcPr>
          <w:p>
            <w:pPr>
              <w:spacing w:after="0"/>
              <w:rPr>
                <w:sz w:val="18"/>
                <w:szCs w:val="18"/>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574.2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38.4</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-419735</wp:posOffset>
            </wp:positionV>
            <wp:extent cx="641223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95"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satellite services segment revenues increased by $38.4 million for the six months ended September 30, 2022 compared to the prior year period due to an increase in service revenues. The increase in service revenues was primarily attributable to an increase in our in-flight services business. The increase in in-flight service revenue was driven primarily by an increase in the number of commercial aircraft receiving our in-flight services through our IFC systems, an increase in passenger air traffic and the continued return to service of aircraft that were previously inactive as a result of the COVID-19 pandemic.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6"/>
                <w:szCs w:val="16"/>
                <w:color w:val="auto"/>
              </w:rPr>
            </w:pPr>
          </w:p>
        </w:tc>
        <w:tc>
          <w:tcPr>
            <w:tcW w:w="96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rPr>
              <w:t>Dollar</w:t>
            </w:r>
          </w:p>
        </w:tc>
        <w:tc>
          <w:tcPr>
            <w:tcW w:w="1820" w:type="dxa"/>
            <w:vAlign w:val="bottom"/>
            <w:gridSpan w:val="2"/>
          </w:tcPr>
          <w:p>
            <w:pPr>
              <w:jc w:val="center"/>
              <w:ind w:right="5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6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gridSpan w:val="3"/>
          </w:tcPr>
          <w:p>
            <w:pPr>
              <w:jc w:val="right"/>
              <w:ind w:right="470"/>
              <w:spacing w:after="0" w:line="129" w:lineRule="exact"/>
              <w:rPr>
                <w:sz w:val="20"/>
                <w:szCs w:val="20"/>
                <w:color w:val="auto"/>
              </w:rPr>
            </w:pPr>
            <w:r>
              <w:rPr>
                <w:rFonts w:ascii="Arial" w:cs="Arial" w:eastAsia="Arial" w:hAnsi="Arial"/>
                <w:sz w:val="14"/>
                <w:szCs w:val="14"/>
                <w:b w:val="1"/>
                <w:bCs w:val="1"/>
                <w:color w:val="auto"/>
              </w:rPr>
              <w:t>September 30,</w:t>
            </w:r>
          </w:p>
        </w:tc>
        <w:tc>
          <w:tcPr>
            <w:tcW w:w="122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10"/>
              <w:spacing w:after="0" w:line="129" w:lineRule="exact"/>
              <w:rPr>
                <w:sz w:val="20"/>
                <w:szCs w:val="20"/>
                <w:color w:val="auto"/>
              </w:rPr>
            </w:pPr>
            <w:r>
              <w:rPr>
                <w:rFonts w:ascii="Arial" w:cs="Arial" w:eastAsia="Arial" w:hAnsi="Arial"/>
                <w:sz w:val="14"/>
                <w:szCs w:val="14"/>
                <w:b w:val="1"/>
                <w:bCs w:val="1"/>
                <w:color w:val="auto"/>
              </w:rPr>
              <w:t>Increase</w:t>
            </w:r>
          </w:p>
        </w:tc>
        <w:tc>
          <w:tcPr>
            <w:tcW w:w="1820" w:type="dxa"/>
            <w:vAlign w:val="bottom"/>
            <w:gridSpan w:val="2"/>
          </w:tcPr>
          <w:p>
            <w:pPr>
              <w:jc w:val="center"/>
              <w:ind w:right="57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100" w:type="dxa"/>
            <w:vAlign w:val="bottom"/>
            <w:gridSpan w:val="3"/>
          </w:tcPr>
          <w:p>
            <w:pPr>
              <w:jc w:val="center"/>
              <w:ind w:right="70"/>
              <w:spacing w:after="0"/>
              <w:rPr>
                <w:sz w:val="20"/>
                <w:szCs w:val="20"/>
                <w:color w:val="auto"/>
              </w:rPr>
            </w:pPr>
            <w:r>
              <w:rPr>
                <w:rFonts w:ascii="Arial" w:cs="Arial" w:eastAsia="Arial" w:hAnsi="Arial"/>
                <w:sz w:val="14"/>
                <w:szCs w:val="14"/>
                <w:b w:val="1"/>
                <w:bCs w:val="1"/>
                <w:color w:val="auto"/>
              </w:rPr>
              <w:t>(Decrease)</w:t>
            </w:r>
          </w:p>
        </w:tc>
        <w:tc>
          <w:tcPr>
            <w:tcW w:w="1820" w:type="dxa"/>
            <w:vAlign w:val="bottom"/>
            <w:gridSpan w:val="2"/>
          </w:tcPr>
          <w:p>
            <w:pPr>
              <w:jc w:val="center"/>
              <w:ind w:right="5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Segment operating profit (loss)</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60" w:type="dxa"/>
            <w:vAlign w:val="bottom"/>
          </w:tcPr>
          <w:p>
            <w:pPr>
              <w:spacing w:after="0"/>
              <w:rPr>
                <w:sz w:val="18"/>
                <w:szCs w:val="18"/>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8"/>
                <w:szCs w:val="18"/>
                <w:color w:val="auto"/>
              </w:rPr>
              <w:t>(1 )%</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4"/>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759"/>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-753745</wp:posOffset>
            </wp:positionV>
            <wp:extent cx="641223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ind w:right="140" w:firstLine="509"/>
        <w:spacing w:after="0" w:line="245" w:lineRule="auto"/>
        <w:rPr>
          <w:sz w:val="20"/>
          <w:szCs w:val="20"/>
          <w:color w:val="auto"/>
        </w:rPr>
      </w:pPr>
      <w:r>
        <w:rPr>
          <w:rFonts w:ascii="Arial" w:cs="Arial" w:eastAsia="Arial" w:hAnsi="Arial"/>
          <w:sz w:val="18"/>
          <w:szCs w:val="18"/>
          <w:color w:val="auto"/>
        </w:rPr>
        <w:t>The change in our satellite services segment operating profit to an operating loss was primarily driven by higher SG&amp;A costs of $21.6 million (mainly attributable to acquisition expenses related to the Inmarsat Transaction) as well as growing expenses associated with activating more of the ViaSat-3 ground network and international activities, as well as increased expenses as a result of supply chain shortages. The increase in our satellite services segment operating loss was further driven by lower earnings contributions of $7.0 million from our fixed broadband services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39"/>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138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1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1"/>
                <w:szCs w:val="11"/>
                <w:color w:val="auto"/>
              </w:rPr>
            </w:pPr>
          </w:p>
        </w:tc>
        <w:tc>
          <w:tcPr>
            <w:tcW w:w="11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39"/>
              <w:spacing w:after="0" w:line="129"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1"/>
                <w:szCs w:val="11"/>
                <w:color w:val="auto"/>
              </w:rPr>
            </w:pPr>
          </w:p>
        </w:tc>
        <w:tc>
          <w:tcPr>
            <w:tcW w:w="1380" w:type="dxa"/>
            <w:vAlign w:val="bottom"/>
            <w:gridSpan w:val="2"/>
          </w:tcPr>
          <w:p>
            <w:pPr>
              <w:jc w:val="center"/>
              <w:ind w:right="11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6"/>
                <w:szCs w:val="16"/>
                <w:color w:val="auto"/>
              </w:rPr>
            </w:pPr>
          </w:p>
        </w:tc>
        <w:tc>
          <w:tcPr>
            <w:tcW w:w="138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Segment product revenues</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220.5</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4900" w:type="dxa"/>
            <w:vAlign w:val="bottom"/>
            <w:gridSpan w:val="2"/>
          </w:tcPr>
          <w:p>
            <w:pPr>
              <w:spacing w:after="0"/>
              <w:rPr>
                <w:sz w:val="20"/>
                <w:szCs w:val="20"/>
                <w:color w:val="auto"/>
              </w:rPr>
            </w:pPr>
            <w:r>
              <w:rPr>
                <w:rFonts w:ascii="Arial" w:cs="Arial" w:eastAsia="Arial" w:hAnsi="Arial"/>
                <w:sz w:val="18"/>
                <w:szCs w:val="18"/>
                <w:color w:val="auto"/>
              </w:rPr>
              <w:t>Segment service revenues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9"/>
        </w:trPr>
        <w:tc>
          <w:tcPr>
            <w:tcW w:w="4900" w:type="dxa"/>
            <w:vAlign w:val="bottom"/>
            <w:gridSpan w:val="2"/>
          </w:tcPr>
          <w:p>
            <w:pPr>
              <w:spacing w:after="0"/>
              <w:rPr>
                <w:sz w:val="20"/>
                <w:szCs w:val="20"/>
                <w:color w:val="auto"/>
              </w:rPr>
            </w:pPr>
            <w:r>
              <w:rPr>
                <w:rFonts w:ascii="Arial" w:cs="Arial" w:eastAsia="Arial" w:hAnsi="Arial"/>
                <w:sz w:val="18"/>
                <w:szCs w:val="18"/>
                <w:color w:val="auto"/>
              </w:rPr>
              <w:t>Total segment revenues</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292.8</w:t>
            </w:r>
          </w:p>
        </w:tc>
        <w:tc>
          <w:tcPr>
            <w:tcW w:w="220" w:type="dxa"/>
            <w:vAlign w:val="bottom"/>
          </w:tcPr>
          <w:p>
            <w:pPr>
              <w:spacing w:after="0"/>
              <w:rPr>
                <w:sz w:val="18"/>
                <w:szCs w:val="18"/>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253.4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39.4</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-419100</wp:posOffset>
            </wp:positionV>
            <wp:extent cx="641223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commercial networks segment revenues increased by $39.4 million, due to a $32.9 million increase in product revenues and a</w:t>
      </w:r>
    </w:p>
    <w:p>
      <w:pPr>
        <w:spacing w:after="0"/>
        <w:rPr>
          <w:sz w:val="20"/>
          <w:szCs w:val="20"/>
          <w:color w:val="auto"/>
        </w:rPr>
      </w:pPr>
      <w:r>
        <w:rPr>
          <w:rFonts w:ascii="Arial" w:cs="Arial" w:eastAsia="Arial" w:hAnsi="Arial"/>
          <w:sz w:val="18"/>
          <w:szCs w:val="18"/>
          <w:color w:val="auto"/>
        </w:rPr>
        <w:t>$6.5 million increase in service revenues. The increase in product revenues was primarily the result of the Cisco Settlement described above,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of which we recorded $55.8 million as product revenue in our commercial networks segment. Please refer to Note 1 — Basis of Presentation</w:t>
      </w:r>
    </w:p>
    <w:p>
      <w:pPr>
        <w:spacing w:after="0" w:line="234" w:lineRule="auto"/>
        <w:rPr>
          <w:sz w:val="20"/>
          <w:szCs w:val="20"/>
          <w:color w:val="auto"/>
        </w:rPr>
      </w:pPr>
      <w:r>
        <w:rPr>
          <w:rFonts w:ascii="Arial" w:cs="Arial" w:eastAsia="Arial" w:hAnsi="Arial"/>
          <w:sz w:val="18"/>
          <w:szCs w:val="18"/>
          <w:color w:val="auto"/>
        </w:rPr>
        <w:t>to our condensed consolidated financial statements for more information. The increase in product revenues was partially offset by a decrease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$24.4 million in mobile broadband satellite communication systems products due to lower IFC terminal shipments resulting mainly from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delayed aircraft deliveries to our commercial airline customers. The increase in service revenues was primarily driven by an increase in</w:t>
      </w:r>
    </w:p>
    <w:p>
      <w:pPr>
        <w:spacing w:after="0"/>
        <w:rPr>
          <w:sz w:val="20"/>
          <w:szCs w:val="20"/>
          <w:color w:val="auto"/>
        </w:rPr>
      </w:pPr>
      <w:r>
        <w:rPr>
          <w:rFonts w:ascii="Arial" w:cs="Arial" w:eastAsia="Arial" w:hAnsi="Arial"/>
          <w:sz w:val="18"/>
          <w:szCs w:val="18"/>
          <w:color w:val="auto"/>
        </w:rPr>
        <w:t>mobile broadband satellite communication systems services.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42"/>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32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60" w:type="dxa"/>
            <w:vAlign w:val="bottom"/>
          </w:tcPr>
          <w:p>
            <w:pPr>
              <w:spacing w:after="0"/>
              <w:rPr>
                <w:sz w:val="11"/>
                <w:szCs w:val="11"/>
                <w:color w:val="auto"/>
              </w:rPr>
            </w:pPr>
          </w:p>
        </w:tc>
        <w:tc>
          <w:tcPr>
            <w:tcW w:w="1400" w:type="dxa"/>
            <w:vAlign w:val="bottom"/>
            <w:gridSpan w:val="2"/>
          </w:tcPr>
          <w:p>
            <w:pPr>
              <w:jc w:val="right"/>
              <w:ind w:right="290"/>
              <w:spacing w:after="0" w:line="129" w:lineRule="exact"/>
              <w:rPr>
                <w:sz w:val="20"/>
                <w:szCs w:val="20"/>
                <w:color w:val="auto"/>
              </w:rPr>
            </w:pPr>
            <w:r>
              <w:rPr>
                <w:rFonts w:ascii="Arial" w:cs="Arial" w:eastAsia="Arial" w:hAnsi="Arial"/>
                <w:sz w:val="14"/>
                <w:szCs w:val="14"/>
                <w:b w:val="1"/>
                <w:bCs w:val="1"/>
                <w:color w:val="auto"/>
              </w:rPr>
              <w:t>September 30,</w:t>
            </w:r>
          </w:p>
        </w:tc>
        <w:tc>
          <w:tcPr>
            <w:tcW w:w="1440" w:type="dxa"/>
            <w:vAlign w:val="bottom"/>
            <w:gridSpan w:val="2"/>
          </w:tcPr>
          <w:p>
            <w:pPr>
              <w:jc w:val="right"/>
              <w:ind w:right="136"/>
              <w:spacing w:after="0" w:line="12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1"/>
                <w:szCs w:val="11"/>
                <w:color w:val="auto"/>
              </w:rPr>
            </w:pPr>
          </w:p>
        </w:tc>
        <w:tc>
          <w:tcPr>
            <w:tcW w:w="1320" w:type="dxa"/>
            <w:vAlign w:val="bottom"/>
            <w:gridSpan w:val="2"/>
          </w:tcPr>
          <w:p>
            <w:pPr>
              <w:jc w:val="center"/>
              <w:ind w:right="11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6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476"/>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42"/>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32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Segment operating profit (loss)</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46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60" w:type="dxa"/>
            <w:vAlign w:val="bottom"/>
          </w:tcPr>
          <w:p>
            <w:pPr>
              <w:spacing w:after="0"/>
              <w:rPr>
                <w:sz w:val="18"/>
                <w:szCs w:val="18"/>
                <w:color w:val="auto"/>
              </w:rPr>
            </w:pPr>
          </w:p>
        </w:tc>
        <w:tc>
          <w:tcPr>
            <w:tcW w:w="1960" w:type="dxa"/>
            <w:vAlign w:val="bottom"/>
            <w:gridSpan w:val="3"/>
          </w:tcPr>
          <w:p>
            <w:pPr>
              <w:jc w:val="right"/>
              <w:ind w:right="439"/>
              <w:spacing w:after="0"/>
              <w:rPr>
                <w:sz w:val="20"/>
                <w:szCs w:val="20"/>
                <w:color w:val="auto"/>
              </w:rPr>
            </w:pPr>
            <w:r>
              <w:rPr>
                <w:rFonts w:ascii="Arial" w:cs="Arial" w:eastAsia="Arial" w:hAnsi="Arial"/>
                <w:sz w:val="18"/>
                <w:szCs w:val="18"/>
                <w:color w:val="auto"/>
              </w:rPr>
              <w:t>(17 )%</w:t>
            </w:r>
          </w:p>
        </w:tc>
        <w:tc>
          <w:tcPr>
            <w:tcW w:w="1200" w:type="dxa"/>
            <w:vAlign w:val="bottom"/>
            <w:gridSpan w:val="3"/>
          </w:tcPr>
          <w:p>
            <w:pPr>
              <w:jc w:val="right"/>
              <w:ind w:right="19"/>
              <w:spacing w:after="0"/>
              <w:rPr>
                <w:sz w:val="20"/>
                <w:szCs w:val="20"/>
                <w:color w:val="auto"/>
              </w:rPr>
            </w:pPr>
            <w:r>
              <w:rPr>
                <w:rFonts w:ascii="Arial" w:cs="Arial" w:eastAsia="Arial" w:hAnsi="Arial"/>
                <w:sz w:val="18"/>
                <w:szCs w:val="18"/>
                <w:color w:val="auto"/>
              </w:rPr>
              <w:t>(38 )%</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-273685</wp:posOffset>
            </wp:positionV>
            <wp:extent cx="641223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8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$45.9 million reduction in our commercial networks operating loss was driven primarily by higher earnings contributions of $49.5 million, primarily due to higher revenues as described above. The reduction in operating loss was also due to a $6.2 million decrease in IR&amp;D expenses (primarily related to next-generation satellite payload technologies). The decrease in operating loss was partially offset by higher SG&amp;A costs of $9.7 million, which includes legal and other expenses related to the Cisco Settlement described above.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rPr>
              <w:t>Dollar</w:t>
            </w:r>
          </w:p>
        </w:tc>
        <w:tc>
          <w:tcPr>
            <w:tcW w:w="1900" w:type="dxa"/>
            <w:vAlign w:val="bottom"/>
            <w:gridSpan w:val="2"/>
          </w:tcPr>
          <w:p>
            <w:pPr>
              <w:jc w:val="center"/>
              <w:ind w:right="59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4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1"/>
                <w:szCs w:val="11"/>
                <w:color w:val="auto"/>
              </w:rPr>
            </w:pPr>
          </w:p>
        </w:tc>
        <w:tc>
          <w:tcPr>
            <w:tcW w:w="11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30"/>
              <w:spacing w:after="0" w:line="129" w:lineRule="exact"/>
              <w:rPr>
                <w:sz w:val="20"/>
                <w:szCs w:val="20"/>
                <w:color w:val="auto"/>
              </w:rPr>
            </w:pPr>
            <w:r>
              <w:rPr>
                <w:rFonts w:ascii="Arial" w:cs="Arial" w:eastAsia="Arial" w:hAnsi="Arial"/>
                <w:sz w:val="14"/>
                <w:szCs w:val="14"/>
                <w:b w:val="1"/>
                <w:bCs w:val="1"/>
                <w:color w:val="auto"/>
              </w:rPr>
              <w:t>Increase</w:t>
            </w:r>
          </w:p>
        </w:tc>
        <w:tc>
          <w:tcPr>
            <w:tcW w:w="1900" w:type="dxa"/>
            <w:vAlign w:val="bottom"/>
            <w:gridSpan w:val="2"/>
          </w:tcPr>
          <w:p>
            <w:pPr>
              <w:jc w:val="center"/>
              <w:ind w:right="590"/>
              <w:spacing w:after="0" w:line="12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9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rPr>
              <w:t>(Decrease)</w:t>
            </w:r>
          </w:p>
        </w:tc>
        <w:tc>
          <w:tcPr>
            <w:tcW w:w="1900" w:type="dxa"/>
            <w:vAlign w:val="bottom"/>
            <w:gridSpan w:val="2"/>
          </w:tcPr>
          <w:p>
            <w:pPr>
              <w:jc w:val="center"/>
              <w:ind w:right="59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Segment product revenues</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97"/>
              </w:rPr>
              <w:t>170.7</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Segment service revenues</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7"/>
              </w:rPr>
              <w:t>152.0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1900" w:type="dxa"/>
            <w:vAlign w:val="bottom"/>
            <w:gridSpan w:val="2"/>
          </w:tcPr>
          <w:p>
            <w:pPr>
              <w:jc w:val="right"/>
              <w:ind w:right="39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Total segment revenues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ind w:left="320"/>
              <w:spacing w:after="0"/>
              <w:rPr>
                <w:sz w:val="20"/>
                <w:szCs w:val="20"/>
                <w:color w:val="auto"/>
              </w:rPr>
            </w:pPr>
            <w:r>
              <w:rPr>
                <w:rFonts w:ascii="Arial" w:cs="Arial" w:eastAsia="Arial" w:hAnsi="Arial"/>
                <w:sz w:val="18"/>
                <w:szCs w:val="18"/>
                <w:color w:val="auto"/>
                <w:w w:val="97"/>
              </w:rPr>
              <w:t>322.7</w:t>
            </w:r>
          </w:p>
        </w:tc>
        <w:tc>
          <w:tcPr>
            <w:tcW w:w="22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352.3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gridSpan w:val="2"/>
          </w:tcPr>
          <w:p>
            <w:pPr>
              <w:jc w:val="right"/>
              <w:ind w:right="33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635"/>
        </w:trPr>
        <w:tc>
          <w:tcPr>
            <w:tcW w:w="5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53</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-908050</wp:posOffset>
            </wp:positionV>
            <wp:extent cx="641223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-624840</wp:posOffset>
            </wp:positionV>
            <wp:extent cx="641223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ind w:right="40" w:firstLine="509"/>
        <w:spacing w:after="0" w:line="242" w:lineRule="auto"/>
        <w:rPr>
          <w:sz w:val="20"/>
          <w:szCs w:val="20"/>
          <w:color w:val="auto"/>
        </w:rPr>
      </w:pPr>
      <w:r>
        <w:rPr>
          <w:rFonts w:ascii="Arial" w:cs="Arial" w:eastAsia="Arial" w:hAnsi="Arial"/>
          <w:sz w:val="18"/>
          <w:szCs w:val="18"/>
          <w:color w:val="auto"/>
        </w:rPr>
        <w:t>Our government systems segment revenues decreased by $29.6 million due to a $35.5 million decrease in product revenues, partially offset by a $ 5.9 million increase in service revenues. The product revenue decrease was primarily driven by a $16.5 million decrease in government satellite communication systems products, a $10.9 million decrease in government mobile broadband products, and a $3.7 million decrease in tactical satcom radio products. Our government systems segment continued to show some impacts from the COVID-19 pandemic, due to continuing certification delays and supply chain component shortages, but government systems segment awards remained strong in the first six months of the fiscal year. The service revenue increase was primarily due to an $11.8 million increase in government satellite communication systems services, partially offset by a $5.6 million decrease in government mobile broadband services. As noted above, all government systems segment results reported herein exclude the Link-16 TDL Business, which are reported as discontinued operations in our condensed consolidated statements of operations for all periods presented.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6"/>
                <w:szCs w:val="16"/>
                <w:color w:val="auto"/>
              </w:rPr>
            </w:pPr>
          </w:p>
        </w:tc>
        <w:tc>
          <w:tcPr>
            <w:tcW w:w="96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rPr>
              <w:t>Dollar</w:t>
            </w:r>
          </w:p>
        </w:tc>
        <w:tc>
          <w:tcPr>
            <w:tcW w:w="14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380"/>
              <w:spacing w:after="0" w:line="14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119"/>
              <w:spacing w:after="0" w:line="14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10"/>
              <w:spacing w:after="0" w:line="143" w:lineRule="exact"/>
              <w:rPr>
                <w:sz w:val="20"/>
                <w:szCs w:val="20"/>
                <w:color w:val="auto"/>
              </w:rPr>
            </w:pPr>
            <w:r>
              <w:rPr>
                <w:rFonts w:ascii="Arial" w:cs="Arial" w:eastAsia="Arial" w:hAnsi="Arial"/>
                <w:sz w:val="14"/>
                <w:szCs w:val="14"/>
                <w:b w:val="1"/>
                <w:bCs w:val="1"/>
                <w:color w:val="auto"/>
              </w:rPr>
              <w:t>Increase</w:t>
            </w:r>
          </w:p>
        </w:tc>
        <w:tc>
          <w:tcPr>
            <w:tcW w:w="1440" w:type="dxa"/>
            <w:vAlign w:val="bottom"/>
            <w:gridSpan w:val="2"/>
          </w:tcPr>
          <w:p>
            <w:pPr>
              <w:jc w:val="center"/>
              <w:ind w:right="170"/>
              <w:spacing w:after="0" w:line="14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5"/>
        </w:trPr>
        <w:tc>
          <w:tcPr>
            <w:tcW w:w="46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1100" w:type="dxa"/>
            <w:vAlign w:val="bottom"/>
            <w:gridSpan w:val="3"/>
          </w:tcPr>
          <w:p>
            <w:pPr>
              <w:jc w:val="center"/>
              <w:ind w:right="70"/>
              <w:spacing w:after="0"/>
              <w:rPr>
                <w:sz w:val="20"/>
                <w:szCs w:val="20"/>
                <w:color w:val="auto"/>
              </w:rPr>
            </w:pPr>
            <w:r>
              <w:rPr>
                <w:rFonts w:ascii="Arial" w:cs="Arial" w:eastAsia="Arial" w:hAnsi="Arial"/>
                <w:sz w:val="14"/>
                <w:szCs w:val="14"/>
                <w:b w:val="1"/>
                <w:bCs w:val="1"/>
                <w:color w:val="auto"/>
              </w:rPr>
              <w:t>(Decrease)</w:t>
            </w:r>
          </w:p>
        </w:tc>
        <w:tc>
          <w:tcPr>
            <w:tcW w:w="14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Segment operating profit (loss)</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46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13 %</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-273685</wp:posOffset>
            </wp:positionV>
            <wp:extent cx="641223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95" w:lineRule="exact"/>
        <w:rPr>
          <w:sz w:val="20"/>
          <w:szCs w:val="20"/>
          <w:color w:val="auto"/>
        </w:rPr>
      </w:pPr>
    </w:p>
    <w:p>
      <w:pPr>
        <w:jc w:val="both"/>
        <w:ind w:right="200" w:firstLine="509"/>
        <w:spacing w:after="0"/>
        <w:rPr>
          <w:sz w:val="20"/>
          <w:szCs w:val="20"/>
          <w:color w:val="auto"/>
        </w:rPr>
      </w:pPr>
      <w:r>
        <w:rPr>
          <w:rFonts w:ascii="Arial" w:cs="Arial" w:eastAsia="Arial" w:hAnsi="Arial"/>
          <w:sz w:val="18"/>
          <w:szCs w:val="18"/>
          <w:color w:val="auto"/>
        </w:rPr>
        <w:t>The $34.1 million decrease in our government systems segment operating profit was driven by lower earnings contributions of $ 20.2 million, primarily due to a decrease in revenue from our government mobile broadband business. The decrease in operating profit was also driven by a $14.1 million increase in SG&amp;A costs (primarily related to acquisition expenses related to the Inmarsat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9" w:lineRule="exact"/>
        <w:rPr>
          <w:sz w:val="20"/>
          <w:szCs w:val="20"/>
          <w:color w:val="auto"/>
        </w:rPr>
      </w:pPr>
    </w:p>
    <w:p>
      <w:pPr>
        <w:ind w:right="300" w:firstLine="509"/>
        <w:spacing w:after="0" w:line="246" w:lineRule="auto"/>
        <w:rPr>
          <w:sz w:val="20"/>
          <w:szCs w:val="20"/>
          <w:color w:val="auto"/>
        </w:rPr>
      </w:pPr>
      <w:r>
        <w:rPr>
          <w:rFonts w:ascii="Arial" w:cs="Arial" w:eastAsia="Arial" w:hAnsi="Arial"/>
          <w:sz w:val="18"/>
          <w:szCs w:val="18"/>
          <w:color w:val="auto"/>
        </w:rPr>
        <w:t>As reflected in the table below, our overall firm and funded backlog (including discontinued operations) increased during the first six months of fiscal year 2023.</w:t>
      </w:r>
    </w:p>
    <w:p>
      <w:pPr>
        <w:spacing w:after="0" w:line="172"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536"/>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434"/>
              <w:spacing w:after="0"/>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14"/>
                <w:szCs w:val="14"/>
                <w:color w:val="auto"/>
              </w:rPr>
            </w:pPr>
          </w:p>
        </w:tc>
      </w:tr>
      <w:tr>
        <w:trPr>
          <w:trHeight w:val="189"/>
        </w:trPr>
        <w:tc>
          <w:tcPr>
            <w:tcW w:w="3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March 31, 2022</w:t>
            </w:r>
          </w:p>
        </w:tc>
        <w:tc>
          <w:tcPr>
            <w:tcW w:w="60" w:type="dxa"/>
            <w:vAlign w:val="bottom"/>
          </w:tcPr>
          <w:p>
            <w:pPr>
              <w:spacing w:after="0"/>
              <w:rPr>
                <w:sz w:val="16"/>
                <w:szCs w:val="16"/>
                <w:color w:val="auto"/>
              </w:rPr>
            </w:pPr>
          </w:p>
        </w:tc>
      </w:tr>
      <w:tr>
        <w:trPr>
          <w:trHeight w:val="155"/>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6"/>
        </w:trPr>
        <w:tc>
          <w:tcPr>
            <w:tcW w:w="3540" w:type="dxa"/>
            <w:vAlign w:val="bottom"/>
            <w:shd w:val="clear" w:color="auto" w:fill="CFF0FC"/>
          </w:tcPr>
          <w:p>
            <w:pPr>
              <w:spacing w:after="0" w:line="166" w:lineRule="exact"/>
              <w:rPr>
                <w:sz w:val="20"/>
                <w:szCs w:val="20"/>
                <w:color w:val="auto"/>
              </w:rPr>
            </w:pPr>
            <w:r>
              <w:rPr>
                <w:rFonts w:ascii="Arial" w:cs="Arial" w:eastAsia="Arial" w:hAnsi="Arial"/>
                <w:sz w:val="18"/>
                <w:szCs w:val="18"/>
                <w:b w:val="1"/>
                <w:bCs w:val="1"/>
                <w:color w:val="auto"/>
              </w:rPr>
              <w:t>Firm backlog (including discontinued</w:t>
            </w: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239"/>
        </w:trPr>
        <w:tc>
          <w:tcPr>
            <w:tcW w:w="3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operations)</w:t>
            </w:r>
          </w:p>
        </w:tc>
        <w:tc>
          <w:tcPr>
            <w:tcW w:w="12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466.4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554.5</w:t>
            </w:r>
          </w:p>
        </w:tc>
        <w:tc>
          <w:tcPr>
            <w:tcW w:w="60" w:type="dxa"/>
            <w:vAlign w:val="bottom"/>
          </w:tcPr>
          <w:p>
            <w:pPr>
              <w:spacing w:after="0"/>
              <w:rPr>
                <w:sz w:val="18"/>
                <w:szCs w:val="18"/>
                <w:color w:val="auto"/>
              </w:rPr>
            </w:pPr>
          </w:p>
        </w:tc>
      </w:tr>
      <w:tr>
        <w:trPr>
          <w:trHeight w:val="216"/>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Commercial networks segment</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715.5</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632.2</w:t>
            </w:r>
          </w:p>
        </w:tc>
        <w:tc>
          <w:tcPr>
            <w:tcW w:w="6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1,188.4</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w:t>
            </w:r>
          </w:p>
        </w:tc>
        <w:tc>
          <w:tcPr>
            <w:tcW w:w="60" w:type="dxa"/>
            <w:vAlign w:val="bottom"/>
          </w:tcPr>
          <w:p>
            <w:pPr>
              <w:spacing w:after="0"/>
              <w:rPr>
                <w:sz w:val="18"/>
                <w:szCs w:val="18"/>
                <w:color w:val="auto"/>
              </w:rPr>
            </w:pPr>
          </w:p>
        </w:tc>
      </w:tr>
      <w:tr>
        <w:trPr>
          <w:trHeight w:val="250"/>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2,370.3</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2,032.7</w:t>
            </w:r>
          </w:p>
        </w:tc>
        <w:tc>
          <w:tcPr>
            <w:tcW w:w="60" w:type="dxa"/>
            <w:vAlign w:val="bottom"/>
            <w:tcBorders>
              <w:bottom w:val="single" w:sz="8" w:color="CFF0FC"/>
            </w:tcBorders>
            <w:shd w:val="clear" w:color="auto" w:fill="CFF0FC"/>
          </w:tcPr>
          <w:p>
            <w:pPr>
              <w:spacing w:after="0"/>
              <w:rPr>
                <w:sz w:val="21"/>
                <w:szCs w:val="21"/>
                <w:color w:val="auto"/>
              </w:rPr>
            </w:pPr>
          </w:p>
        </w:tc>
      </w:tr>
      <w:tr>
        <w:trPr>
          <w:trHeight w:val="147"/>
        </w:trPr>
        <w:tc>
          <w:tcPr>
            <w:tcW w:w="3540" w:type="dxa"/>
            <w:vAlign w:val="bottom"/>
          </w:tcPr>
          <w:p>
            <w:pPr>
              <w:spacing w:after="0" w:line="147" w:lineRule="exact"/>
              <w:rPr>
                <w:sz w:val="20"/>
                <w:szCs w:val="20"/>
                <w:color w:val="auto"/>
              </w:rPr>
            </w:pPr>
            <w:r>
              <w:rPr>
                <w:rFonts w:ascii="Arial" w:cs="Arial" w:eastAsia="Arial" w:hAnsi="Arial"/>
                <w:sz w:val="17"/>
                <w:szCs w:val="17"/>
                <w:b w:val="1"/>
                <w:bCs w:val="1"/>
                <w:color w:val="auto"/>
              </w:rPr>
              <w:t>Funded backlog (including</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39"/>
        </w:trPr>
        <w:tc>
          <w:tcPr>
            <w:tcW w:w="3540" w:type="dxa"/>
            <w:vAlign w:val="bottom"/>
          </w:tcPr>
          <w:p>
            <w:pPr>
              <w:spacing w:after="0"/>
              <w:rPr>
                <w:sz w:val="20"/>
                <w:szCs w:val="20"/>
                <w:color w:val="auto"/>
              </w:rPr>
            </w:pPr>
            <w:r>
              <w:rPr>
                <w:rFonts w:ascii="Arial" w:cs="Arial" w:eastAsia="Arial" w:hAnsi="Arial"/>
                <w:sz w:val="18"/>
                <w:szCs w:val="18"/>
                <w:b w:val="1"/>
                <w:bCs w:val="1"/>
                <w:color w:val="auto"/>
              </w:rPr>
              <w:t>discontinued operations)</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 segment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466.4</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554.5</w:t>
            </w:r>
          </w:p>
        </w:tc>
        <w:tc>
          <w:tcPr>
            <w:tcW w:w="6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583.1</w:t>
            </w:r>
          </w:p>
        </w:tc>
        <w:tc>
          <w:tcPr>
            <w:tcW w:w="60" w:type="dxa"/>
            <w:vAlign w:val="bottom"/>
          </w:tcPr>
          <w:p>
            <w:pPr>
              <w:spacing w:after="0"/>
              <w:rPr>
                <w:sz w:val="18"/>
                <w:szCs w:val="18"/>
                <w:color w:val="auto"/>
              </w:rPr>
            </w:pP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Government systems segment</w:t>
            </w:r>
          </w:p>
        </w:tc>
        <w:tc>
          <w:tcPr>
            <w:tcW w:w="1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1,089.8</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803.4</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2,199.2</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1,941.0</w:t>
            </w:r>
          </w:p>
        </w:tc>
        <w:tc>
          <w:tcPr>
            <w:tcW w:w="6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-864870</wp:posOffset>
            </wp:positionV>
            <wp:extent cx="1011555" cy="2825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11555" cy="28257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43180"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34290" cy="1714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14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firm backlog does not include contract options. As of September 30, 2022, of the $2.4 billion in firm backlog (including approximately $599.7 million attributable to discontinued operations), a little over half is expected to be delivered during the next 12 months, with the balance delivered thereafter. We include in our backlog only those orders for which we have accepted purchase orders, and not anticipated purchase orders and requests. In our satellite services segment, our backlog includes fixed broadband service revenues under our subscriber agreements, but does not include future recurring IFC service revenues under our agreements with commercial airlines. As of September 30, 2022, our IFC systems were installed and in service on approximately 1,970 commercial aircraft, of which, due to impacts of the COVID-19 pandemic, approximately 20 were inactive at quarter end. While domestic airline traffic continued to increase during fiscal year 2023 (with increased planes in service and higher passenger volumes), global airline traffic has not yet recovered to pre-pandemic levels. We expect to continue to see some negative impacts on revenues and operating cash flows from our IFC businesses in fiscal year 2023 and potentially beyond but for the effects to continue to lessen over time with increases in passenger air traffic and the return to service of additional currently inactive aircraft. We anticipate that approximately 1,270 additional commercial aircraft under existing customer agreements with commercial airlines will be put into service with our IFC systems. However, the timing of installation and entry into service of IFC systems on additional aircraft under existing customer agreements may be delayed as a result of the impact of the COVID-19</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ind w:right="440"/>
        <w:spacing w:after="0" w:line="261" w:lineRule="auto"/>
        <w:rPr>
          <w:sz w:val="20"/>
          <w:szCs w:val="20"/>
          <w:color w:val="auto"/>
        </w:rPr>
      </w:pPr>
      <w:r>
        <w:rPr>
          <w:rFonts w:ascii="Arial" w:cs="Arial" w:eastAsia="Arial" w:hAnsi="Arial"/>
          <w:sz w:val="18"/>
          <w:szCs w:val="18"/>
          <w:color w:val="auto"/>
        </w:rPr>
        <w:t>pandemic on the global airline industry. Accordingly, there can be no assurance that all anticipated purchase orders and requests will be placed or that anticipated IFC services will be activated.</w:t>
      </w:r>
    </w:p>
    <w:p>
      <w:pPr>
        <w:spacing w:after="0" w:line="130" w:lineRule="exact"/>
        <w:rPr>
          <w:sz w:val="20"/>
          <w:szCs w:val="20"/>
          <w:color w:val="auto"/>
        </w:rPr>
      </w:pPr>
    </w:p>
    <w:p>
      <w:pPr>
        <w:jc w:val="both"/>
        <w:ind w:right="680" w:firstLine="509"/>
        <w:spacing w:after="0" w:line="270" w:lineRule="auto"/>
        <w:rPr>
          <w:sz w:val="20"/>
          <w:szCs w:val="20"/>
          <w:color w:val="auto"/>
        </w:rPr>
      </w:pPr>
      <w:r>
        <w:rPr>
          <w:rFonts w:ascii="Arial" w:cs="Arial" w:eastAsia="Arial" w:hAnsi="Arial"/>
          <w:sz w:val="17"/>
          <w:szCs w:val="17"/>
          <w:color w:val="auto"/>
        </w:rPr>
        <w:t>Our total new awards (including discontinued operations, but excluding future revenue under recurring consumer commitment arrangements) were approximately $1.1 billion and $1.9 billion for the three and six months ended September 30, 2022, respectively, compared to approximately $831.7 million and $1.4 billion for the three and six months ended September 30, 2021, respectively.</w:t>
      </w:r>
    </w:p>
    <w:p>
      <w:pPr>
        <w:spacing w:after="0" w:line="123"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47"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In addition, we expect a portion of the net cash proceeds from the Link-16 TDL Sale to be used to finance our continuing operations and reduce debt, whether existing or committed as part of the Inmarsat Transaction. At September 30, 2022, we had $149.2 million in cash and cash equivalents, $343.5 million in working capital, and $210.0 million in principal amount of outstanding borrowings and borrowing availability of $ 429.2 million under our Revolving Credit Facility. At March 31, 2022, we had $310.5 million in cash and cash equivalents, $389.1 million in working capital, and no outstanding borrowings and borrowing availability of $637.0 million under our Revolving Credit Facility. We invest our cash in excess of current operating requirements in short-term, highly liquid bank money market accounts.</w:t>
      </w:r>
    </w:p>
    <w:p>
      <w:pPr>
        <w:spacing w:after="0" w:line="153" w:lineRule="exact"/>
        <w:rPr>
          <w:sz w:val="20"/>
          <w:szCs w:val="20"/>
          <w:color w:val="auto"/>
        </w:rPr>
      </w:pPr>
    </w:p>
    <w:p>
      <w:pPr>
        <w:ind w:right="280" w:firstLine="509"/>
        <w:spacing w:after="0" w:line="245" w:lineRule="auto"/>
        <w:rPr>
          <w:sz w:val="20"/>
          <w:szCs w:val="20"/>
          <w:color w:val="auto"/>
        </w:rPr>
      </w:pPr>
      <w:r>
        <w:rPr>
          <w:rFonts w:ascii="Arial" w:cs="Arial" w:eastAsia="Arial" w:hAnsi="Arial"/>
          <w:sz w:val="18"/>
          <w:szCs w:val="18"/>
          <w:color w:val="auto"/>
        </w:rPr>
        <w:t>We have obtained financing commitments for an additional $1.6 billion of new debt facilities in connection with the Inmarsat Transaction (which may be secured and/or unsecured). However, we expect that the actual amount of indebtedness incurred under these commitments will be lower in light of the $299.3 million reduction in the cash purchase price payable in the Inmarsat Transaction. We also plan to assume $2.1 billion in principal amount of Inmarsat senior secured bonds and the outstanding indebtedness under Inmarsat’s $2.4 billion senior secured credit facilities.</w:t>
      </w:r>
    </w:p>
    <w:p>
      <w:pPr>
        <w:spacing w:after="0" w:line="14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general cash needs of our satellite services, commercial networks and government systems segments can vary significantly and our future capital requirements will depend upon many factors, including the timing and amount of cash required to consummate the Inmarsat Transaction (including the cash portion of the purchase price, transaction-related costs and integration-related costs, see the discussion above under "Inmarsat Acquisition"), the timing and amount of net cash proceeds received from the Link-16 TDL Sale (see discussion above under "Sale of Link-16 TDL Business"), cash required for our satellite projects and any future broadband satellite projects we may engage in, expansion of our IR&amp;D and marketing efforts, and the nature and timing of orders. In particular:</w:t>
      </w:r>
    </w:p>
    <w:p>
      <w:pPr>
        <w:spacing w:after="0" w:line="93" w:lineRule="exact"/>
        <w:rPr>
          <w:sz w:val="20"/>
          <w:szCs w:val="20"/>
          <w:color w:val="auto"/>
        </w:rPr>
      </w:pPr>
    </w:p>
    <w:p>
      <w:pPr>
        <w:ind w:left="1020" w:right="320" w:hanging="503"/>
        <w:spacing w:after="0" w:line="24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cash needs of our satellite services segment tend to be driven by the timing and amount of capital expenditures (e.g., payments under satellite construction and launch contracts and investments in ground infrastructure roll-out), investments in joint ventures, strategic partnering arrangements and network expansion activities, as well as the quality of customer, type of contract and payment terms.</w:t>
      </w:r>
    </w:p>
    <w:p>
      <w:pPr>
        <w:spacing w:after="0" w:line="93" w:lineRule="exact"/>
        <w:rPr>
          <w:rFonts w:ascii="Arial" w:cs="Arial" w:eastAsia="Arial" w:hAnsi="Arial"/>
          <w:sz w:val="18"/>
          <w:szCs w:val="18"/>
          <w:color w:val="auto"/>
        </w:rPr>
      </w:pPr>
    </w:p>
    <w:p>
      <w:pPr>
        <w:ind w:left="1020" w:right="60" w:hanging="503"/>
        <w:spacing w:after="0" w:line="24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w:t>
      </w:r>
    </w:p>
    <w:p>
      <w:pPr>
        <w:spacing w:after="0" w:line="93" w:lineRule="exact"/>
        <w:rPr>
          <w:rFonts w:ascii="Arial" w:cs="Arial" w:eastAsia="Arial" w:hAnsi="Arial"/>
          <w:sz w:val="18"/>
          <w:szCs w:val="18"/>
          <w:color w:val="auto"/>
        </w:rPr>
      </w:pPr>
    </w:p>
    <w:p>
      <w:pPr>
        <w:ind w:left="1020" w:hanging="503"/>
        <w:spacing w:after="0" w:line="24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5" w:name="page56"/>
    <w:bookmarkEnd w:id="55"/>
    <w:p>
      <w:pPr>
        <w:ind w:left="1020" w:right="40"/>
        <w:spacing w:after="0" w:line="248" w:lineRule="auto"/>
        <w:rPr>
          <w:sz w:val="20"/>
          <w:szCs w:val="20"/>
          <w:color w:val="auto"/>
        </w:rPr>
      </w:pPr>
      <w:r>
        <w:rPr>
          <w:rFonts w:ascii="Arial" w:cs="Arial" w:eastAsia="Arial" w:hAnsi="Arial"/>
          <w:sz w:val="18"/>
          <w:szCs w:val="18"/>
          <w:color w:val="auto"/>
        </w:rPr>
        <w:t>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41"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Additionally, we will continue to evaluate other possible acquisitions of, or investments in complementary businesses, products and technologies which may require the use of cash or additional financing. Although a significant portion of transaction-related costs relating to the Inmarsat Transaction is contingent upon the closing of the Inmarsat Transaction occurring, some have been and will be incurred regardless of whether the Inmarsat Transaction is consummated.</w:t>
      </w:r>
    </w:p>
    <w:p>
      <w:pPr>
        <w:spacing w:after="0" w:line="161"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From time to time, we file universal shelf registration statements with the SEC for the future sale of an unlimited amount of common stock, preferred stock, debt securities, depositary shares, warrants and rights, which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164" w:lineRule="exact"/>
        <w:rPr>
          <w:sz w:val="20"/>
          <w:szCs w:val="20"/>
          <w:color w:val="auto"/>
        </w:rPr>
      </w:pPr>
    </w:p>
    <w:p>
      <w:pPr>
        <w:jc w:val="both"/>
        <w:ind w:right="100" w:firstLine="509"/>
        <w:spacing w:after="0" w:line="243" w:lineRule="auto"/>
        <w:rPr>
          <w:sz w:val="20"/>
          <w:szCs w:val="20"/>
          <w:color w:val="auto"/>
        </w:rPr>
      </w:pPr>
      <w:r>
        <w:rPr>
          <w:rFonts w:ascii="Arial" w:cs="Arial" w:eastAsia="Arial" w:hAnsi="Arial"/>
          <w:sz w:val="18"/>
          <w:szCs w:val="18"/>
          <w:color w:val="auto"/>
        </w:rPr>
        <w:t>Although we can give no assurances concerning our future liquidity, we believe that we have adequate sources of funding to meet our anticipated operating requirements for the next 12 months, as well as to fund the consummation of the Inmarsat Transaction, which include, but are not limited to, cash on hand, borrowing capacity, cash expected to be provided by operating activities, expected net proceeds of the Link-16 TDL Sale, and financing commitments obtained in connection with the Inmarsat Transaction.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8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Cash provided by operating activities for the first six months of fiscal year 2023 was $228.1 million compared to $227.8 million in the prior year period. This insignificant increase was primarily driven by a $6.0 million year-over-year decrease in cash used to fund net operating assets, largely offset by our operating results (net income (loss) adjusted for depreciation, amortization and other non-cash charges) which resulted in $5.7 million of lower cash provided by operating activities year-over-year. The decrease in cash used to fund net operating assets during the first six months of fiscal year 2023 when compared to the prior year period was primarily due to an increase in cash inflows year-over-year from our collections in excess of revenues and deferred revenues included in accrued liabilities primarily due to the timing of milestone billings for certain larger development projects in our commercial networks segment, partially offset by a higher increase in cash used for IFC terminal inventory in our commercial networks segment in expectation of related revenue ramp up over the remainder of fiscal year 2023 for both existing and new commercial airline customers.</w:t>
      </w:r>
    </w:p>
    <w:p>
      <w:pPr>
        <w:spacing w:after="0" w:line="147"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Cash used in investing activities for the first six months of fiscal year 2023 was $554.8 million compared to $613.6 million in the prior year period. This $58.8 million decrease in cash used in investing activities year-over-year reflects $138.7 million in cash used for the RigNet and EBI acquisitions in the first quarter of fiscal year 2022, partially offset by an increase of $59.7 million in capital expenditures used for property and other general purpose equipment year-over-year. Cash used in investing activities related to our discontinued operations was slightly higher year-over-year related to an insignificant increase in capital expenditures used for property and other general purpose equipment.</w:t>
      </w:r>
    </w:p>
    <w:p>
      <w:pPr>
        <w:spacing w:after="0" w:line="147"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Cash provided by financing activities for the first six months of fiscal year 2023 was $168.4 million compared to $310.3 million for the prior year period. This $141.9 million decrease in cash provided by financing activities year-over-year was mainly due to an increase in payments of debt borrowings of $67.1 million year-over-year, a decrease in proceeds from debt borrowings of $ 45.0 million year-over-year and a payment of $30.0 million by our majority-owned subsidiary, TrellisWare Technologies, Inc., to repurchase shares of its common stock from its stockholders (see Note 1 — Basis of Presentation – Noncontrolling interest to our condensed consolidated financial statements 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99"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We expect to continue to invest in IR&amp;D as we continue our focus on leadership and innovation in satellite and space technologies, including for the development of any new generation satellite designs and next-generation satellite network solutions. The level of our investment in a given fiscal year will depend on a variety of factors, including the stage of development of our satellite projects, new market opportunities and our overall operating performance.</w:t>
      </w:r>
    </w:p>
    <w:p>
      <w:pPr>
        <w:spacing w:after="0" w:line="147" w:lineRule="exact"/>
        <w:rPr>
          <w:sz w:val="20"/>
          <w:szCs w:val="20"/>
          <w:color w:val="auto"/>
        </w:rPr>
      </w:pPr>
    </w:p>
    <w:p>
      <w:pPr>
        <w:ind w:right="760" w:firstLine="509"/>
        <w:spacing w:after="0" w:line="261" w:lineRule="auto"/>
        <w:rPr>
          <w:sz w:val="20"/>
          <w:szCs w:val="20"/>
          <w:color w:val="auto"/>
        </w:rPr>
      </w:pPr>
      <w:r>
        <w:rPr>
          <w:rFonts w:ascii="Arial" w:cs="Arial" w:eastAsia="Arial" w:hAnsi="Arial"/>
          <w:sz w:val="18"/>
          <w:szCs w:val="18"/>
          <w:color w:val="auto"/>
        </w:rPr>
        <w:t>As we continue to build and expand our global network and satellite fleet, from time to time we enter into satellite construction agreements for the construction and purchase of additional satellites and (depending on the satellite design)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ind w:right="80"/>
        <w:spacing w:after="0" w:line="241" w:lineRule="auto"/>
        <w:rPr>
          <w:sz w:val="20"/>
          <w:szCs w:val="20"/>
          <w:color w:val="auto"/>
        </w:rPr>
      </w:pPr>
      <w:r>
        <w:rPr>
          <w:rFonts w:ascii="Arial" w:cs="Arial" w:eastAsia="Arial" w:hAnsi="Arial"/>
          <w:sz w:val="18"/>
          <w:szCs w:val="18"/>
          <w:color w:val="auto"/>
        </w:rPr>
        <w:t>the integration of our payload and technologies into the satellites. See Note 12 — Commitments to our consolidated financial statements included in our Annual Report on Form 10-K for the year ended March 31, 2022 for information regarding our future minimum payments under our satellite construction contracts and other satellite-related purchase commitments (including satellite performance incentive obligations relating to the ViaSat-1 and ViaSat-2 satellites) for the next five fiscal years and thereafter. The total project cost to bring a new satellite into service will depend, among other things, on the scope and timing of the earth station infrastructure roll-out and the method used to procure fiber or other access to the earth station infrastructure. Our total cash funding of a satellite project may be reduced through third-party agreements, such as potential joint service offerings and other strategic partnering arrangements.</w:t>
      </w:r>
    </w:p>
    <w:p>
      <w:pPr>
        <w:spacing w:after="0" w:line="16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connection with the launch of any new satellite and the commencement of commercial service on the satellite, we expect to incur additional operating costs that negatively impact our financial results. For example, when ViaSat-2 was placed in service in the fourth quarter of fiscal year 2018, this resulted in additional operating costs in our satellite services segment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service. As services using the new satellite scaled, however, our revenue base for broadband services expanded and we gained operating cost efficiencies, which together yielded incremental segment earnings contributions. In addition, we may experience bandwidth supply constraints in the lead-up to the commencement of commercial service on new satellites. We anticipate that we will incur a similar cycle of increased operating costs and constrained bandwidth supply as we prepare for and launch commercial services on future satellites, including our ViaSat-3 constellation, followed by increases in revenue base and in scale. However, there can be no assurance that we will be successful in significantly increasing revenues or achieving or maintaining operating profit in our satellite services segment, and any such gains may also be offset by investments in our global business.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85"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As of September 30, 2022, the aggregate principal amount of our total outstanding indebtedness was $2.7 billion, which was comprised of $700.0 million in principal amount of 2025 Notes, $600.0 million in principal amount of 2027 Notes, $400.0 million in principal amount of 2028 Notes (together with the 2025 Notes and 2027 Notes, the Notes), $698.3 million in principal amount of outstanding borrowings under our Term Loan Facility, $210.0 million in principal amount of outstanding borrowings under our $700.0 million Revolving Credit Facility, $68.8 million in principal amount of outstanding borrowings under our direct loan facility with the Export-Import Bank of the United States (the Ex-Im Credit Facility) and $42.8 million of finance lease obligations. For information regarding our Term Loan Facility, Revolving Credit Facility and Ex-Im Facility (collectively, the Credit Facilities) and Notes, refer to Note 8 – Senior Notes and Other Long-Term Debt to our condensed consolidated financial statements.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and IR&amp;D Investments</w:t>
      </w:r>
    </w:p>
    <w:p>
      <w:pPr>
        <w:spacing w:after="0" w:line="99" w:lineRule="exact"/>
        <w:rPr>
          <w:sz w:val="20"/>
          <w:szCs w:val="20"/>
          <w:color w:val="auto"/>
        </w:rPr>
      </w:pPr>
    </w:p>
    <w:p>
      <w:pPr>
        <w:ind w:right="440" w:firstLine="509"/>
        <w:spacing w:after="0" w:line="246" w:lineRule="auto"/>
        <w:rPr>
          <w:sz w:val="20"/>
          <w:szCs w:val="20"/>
          <w:color w:val="auto"/>
        </w:rPr>
      </w:pPr>
      <w:r>
        <w:rPr>
          <w:rFonts w:ascii="Arial" w:cs="Arial" w:eastAsia="Arial" w:hAnsi="Arial"/>
          <w:sz w:val="18"/>
          <w:szCs w:val="18"/>
          <w:color w:val="auto"/>
        </w:rPr>
        <w:t>For a discussion of our capital expenditures and IR&amp;D investments, see Part II, Item 7, “Liquidity and Capital Resources – Capital Expenditures and IR&amp;D Investments” in our Annual Report on Form 10-K for the year ended March 31,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9" w:lineRule="exact"/>
        <w:rPr>
          <w:sz w:val="20"/>
          <w:szCs w:val="20"/>
          <w:color w:val="auto"/>
        </w:rPr>
      </w:pPr>
    </w:p>
    <w:p>
      <w:pPr>
        <w:ind w:right="340" w:firstLine="509"/>
        <w:spacing w:after="0" w:line="246" w:lineRule="auto"/>
        <w:rPr>
          <w:sz w:val="20"/>
          <w:szCs w:val="20"/>
          <w:color w:val="auto"/>
        </w:rPr>
      </w:pPr>
      <w:r>
        <w:rPr>
          <w:rFonts w:ascii="Arial" w:cs="Arial" w:eastAsia="Arial" w:hAnsi="Arial"/>
          <w:sz w:val="18"/>
          <w:szCs w:val="18"/>
          <w:color w:val="auto"/>
        </w:rPr>
        <w:t>The following table sets forth a summary of certain material cash requirements for known contractual obligations and commitments (including in respect of our discontinued operations) at September 30,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Next 12 months</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5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Operating leases (1)</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80,974</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397,492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Senior Notes and Other Long-Term Debt (2)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200,675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3,315,590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500" w:type="dxa"/>
            <w:vAlign w:val="bottom"/>
            <w:gridSpan w:val="2"/>
            <w:shd w:val="clear" w:color="auto" w:fill="CFF0FC"/>
          </w:tcPr>
          <w:p>
            <w:pPr>
              <w:ind w:left="20"/>
              <w:spacing w:after="0" w:line="189" w:lineRule="exact"/>
              <w:rPr>
                <w:sz w:val="20"/>
                <w:szCs w:val="20"/>
                <w:color w:val="auto"/>
              </w:rPr>
            </w:pPr>
            <w:r>
              <w:rPr>
                <w:rFonts w:ascii="Arial" w:cs="Arial" w:eastAsia="Arial" w:hAnsi="Arial"/>
                <w:sz w:val="18"/>
                <w:szCs w:val="18"/>
                <w:color w:val="auto"/>
              </w:rPr>
              <w:t>Purchase commitments including satellite-related</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1,510,703</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1,036,825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500" w:type="dxa"/>
            <w:vAlign w:val="bottom"/>
            <w:tcBorders>
              <w:bottom w:val="single" w:sz="8" w:color="CFF0FC"/>
            </w:tcBorders>
            <w:gridSpan w:val="2"/>
            <w:shd w:val="clear" w:color="auto" w:fill="CFF0FC"/>
          </w:tcPr>
          <w:p>
            <w:pPr>
              <w:ind w:left="180"/>
              <w:spacing w:after="0" w:line="203" w:lineRule="exact"/>
              <w:rPr>
                <w:sz w:val="20"/>
                <w:szCs w:val="20"/>
                <w:color w:val="auto"/>
              </w:rPr>
            </w:pPr>
            <w:r>
              <w:rPr>
                <w:rFonts w:ascii="Arial" w:cs="Arial" w:eastAsia="Arial" w:hAnsi="Arial"/>
                <w:sz w:val="18"/>
                <w:szCs w:val="18"/>
                <w:color w:val="auto"/>
              </w:rPr>
              <w:t>agreements</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vMerge w:val="continue"/>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1,792,352</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4,749,907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auto"/>
            </w:tcBorders>
          </w:tcPr>
          <w:p>
            <w:pPr>
              <w:spacing w:after="0"/>
              <w:rPr>
                <w:sz w:val="17"/>
                <w:szCs w:val="17"/>
                <w:color w:val="auto"/>
              </w:rPr>
            </w:pPr>
          </w:p>
        </w:tc>
        <w:tc>
          <w:tcPr>
            <w:tcW w:w="6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-316230</wp:posOffset>
            </wp:positionV>
            <wp:extent cx="68580" cy="171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714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91"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amounts are inclusive of the operating leases for facilities which are attributable to discontinued operations.</w:t>
      </w:r>
    </w:p>
    <w:p>
      <w:pPr>
        <w:ind w:left="520" w:right="200" w:hanging="512"/>
        <w:spacing w:after="0" w:line="246"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the extent that the interest rate on any long-term debt is variable, amounts reflected represent estimated interest payments on the applicable current outstanding balance based on the interest rate at September 30, 2022 until the applicable maturity date.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7" w:name="page58"/>
    <w:bookmarkEnd w:id="57"/>
    <w:p>
      <w:pPr>
        <w:ind w:right="160" w:firstLine="509"/>
        <w:spacing w:after="0" w:line="241"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5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Our condensed consolidated balance sheets included $141.7 million and $153.2 million of “other liabilities” as of September 30, 2022 and March 31, 2022, respectively, which primarily consisted of the long-term portion of deferred revenues, the long-term portion of our satellite performance incentive obligations relating to the ViaSat-1 and ViaSat-2 satellites, deferred income taxes and our long-term warranty obligations. With the exception of the long-term portion of our satellite performance incentive obligations relating to the ViaSat-1 and ViaSat-2 satellites (which is included under “Purchase commitments including satellite-related agreements”), these remaining liabilities have been excluded from the above table as the timing and/or the amount of any cash payment is uncertain. See Note 12 — Commitments to our consolidated financial statements included in our Annual Report on Form 10-K for the year ended March 31, 2022 for additional information regarding satellite performance incentive obligations relating to the ViaSat-1 and ViaSat-2 satellites. See Note 9 — Product Warranty to our condensed consolidated financial statements for a discussion of our product warranties. Also excluded from the above table are amounts payable to the Sellers under the Purchase Agreement in the Inmarsat Transaction.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5" w:lineRule="exact"/>
        <w:rPr>
          <w:sz w:val="20"/>
          <w:szCs w:val="20"/>
          <w:color w:val="auto"/>
        </w:rPr>
      </w:pPr>
    </w:p>
    <w:p>
      <w:pPr>
        <w:jc w:val="both"/>
        <w:ind w:right="280" w:firstLine="509"/>
        <w:spacing w:after="0" w:line="248" w:lineRule="auto"/>
        <w:rPr>
          <w:sz w:val="20"/>
          <w:szCs w:val="20"/>
          <w:color w:val="auto"/>
        </w:rPr>
      </w:pPr>
      <w:r>
        <w:rPr>
          <w:rFonts w:ascii="Arial" w:cs="Arial" w:eastAsia="Arial" w:hAnsi="Arial"/>
          <w:sz w:val="18"/>
          <w:szCs w:val="18"/>
          <w:color w:val="auto"/>
        </w:rPr>
        <w:t>We had no material off-balance sheet arrangements at September 30, 2022 as defined in Regulation S-K Item 303(b) other than as discussed under “Contractual Obligations” above or disclosed in the notes to our condensed consolidated financial statements included in this report or in our Annual Report on Form 10-K for the year ended March 31, 2022.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85" w:lineRule="exact"/>
        <w:rPr>
          <w:sz w:val="20"/>
          <w:szCs w:val="20"/>
          <w:color w:val="auto"/>
        </w:rPr>
      </w:pPr>
    </w:p>
    <w:p>
      <w:pPr>
        <w:ind w:right="620" w:firstLine="509"/>
        <w:spacing w:after="0" w:line="261" w:lineRule="auto"/>
        <w:rPr>
          <w:sz w:val="20"/>
          <w:szCs w:val="20"/>
          <w:color w:val="auto"/>
        </w:rPr>
      </w:pPr>
      <w:r>
        <w:rPr>
          <w:rFonts w:ascii="Arial" w:cs="Arial" w:eastAsia="Arial" w:hAnsi="Arial"/>
          <w:sz w:val="18"/>
          <w:szCs w:val="18"/>
          <w:color w:val="auto"/>
        </w:rPr>
        <w:t>For information regarding recently adopted and issued accounting pronouncements, see Note 1 — Basis of Presentation to our condensed consolidated financial statements.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ind w:right="5540"/>
        <w:spacing w:after="0" w:line="333"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spacing w:after="0" w:line="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Our financial instruments consist of cash and cash equivalents, accounts receivable, accounts payable and short-term and long-term obligations (including the Credit Facilities and the Notes). We consider investments in highly liquid instruments purchased with a remaining maturity of three months or less at the date of purchase to be cash equivalents. As of September 30, 2022, we had $698.3 million in principal amount of outstanding borrowings under our Term Loan Facility, $210.0 million in principal amount of outstanding borrowings under our Revolving Credit Facility, $68.8 million in principal amount of outstanding borrowings under our Ex-Im Credit Facility, $700.0 million in aggregate principal amount outstanding of the 2025 Notes, $600.0 million in aggregate principal amount outstanding of the 2027 Notes and $400.0 million in aggregate principal amount outstanding of the 2028 Notes, and we held no short-term investments. The Notes and borrowings under our Ex-Im Credit Facility bear interest at a fixed rate and therefore our exposure to market risk for changes in interest rates relates primarily to borrowings under our Term Loan Facility and Revolving Credit Facility, cash equivalents, short-term investments and short-term obligations.</w:t>
      </w:r>
    </w:p>
    <w:p>
      <w:pPr>
        <w:spacing w:after="0" w:line="14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amount of our cash balance in money market accounts.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both the three and six months ended September 30, 2022 and 2021.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4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primary interest rate under the Term Loan Facility is the SOFR rate plus 4.50%. As of September 30, 2022, the effective interest rate on our outstanding borrowings under the Term Loan Facility was 8.21%. Our primary interest rate under the Revolving Credit Facility is the Eurodollar rate plus an applicable margin that is based on our total leverage ratio. As of September 30, 2022, the weighted average effective interest rate on our outstanding borrowings under the Revolving Credit Facility was 4.85%. Accordingly, assuming both the outstanding balances under the Term Loan Facility and the Revolving Credit Facility remained constant over a year, a 50 basis point increase in the interest rates would increase interest incurred, prior to effects of capitalized interest, by approximately $4.6 million over a 12-month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85"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A five percent variance in foreign currencies in which our international business is conducted would change our income (loss) before income taxes by $1.0 million and an insignificant amount for the three and six months ended September 30, 2022, respectively, and by an insignificant amount for both the three and six months ended September 30, 2021.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and March 31, 2022, we had no foreign currency forward contracts outstanding.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9"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September 30, 2022, the end of the period covered by this report. Based upon the foregoing, our Chief Executive Officer and Chief Financial Officer concluded that our disclosure controls and procedures were effective at a reasonable assurance level as of September 30, 2022.</w:t>
      </w:r>
    </w:p>
    <w:p>
      <w:pPr>
        <w:spacing w:after="0" w:line="147" w:lineRule="exact"/>
        <w:rPr>
          <w:sz w:val="20"/>
          <w:szCs w:val="20"/>
          <w:color w:val="auto"/>
        </w:rPr>
      </w:pPr>
    </w:p>
    <w:p>
      <w:pPr>
        <w:ind w:right="420" w:firstLine="509"/>
        <w:spacing w:after="0" w:line="246"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9"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fiscal year ended March 31, 2022, as updated below, which factors could materially affect our business, financial condition, liquidity or future results. Except as set forth below, there have been no material changes to the risk factors described in the "Risk Factors" section in our Annual Report on Form 10-K for the fiscal year ended March 31, 2022.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Inability to Complete the Link-16 TDL Sale Could Negatively Affect Our Business, Financial Condition and Results of Operations</w:t>
      </w:r>
    </w:p>
    <w:p>
      <w:pPr>
        <w:spacing w:after="0" w:line="99"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 closing of the Link-16 TDL Sale is subject to the satisfaction or waiver of certain closing conditions and there can be no assurance that these conditions will be satisfied on the timeline we expect or at all. The Link-16 TDL Sale may also be terminated in certain specified circumstances, including if the sale is not completed by October 1, 2023 (subject to certain extensions under certain circumstances). While the Link-16 TDL Sale is pending or if the sale is not completed, we may be subject to several risks including:</w:t>
      </w:r>
    </w:p>
    <w:p>
      <w:pPr>
        <w:spacing w:after="0" w:line="93"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current trading price of our common stock may reflect a market assumption that the Link-16 TDL Sale will be completed;</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incurred and expect to continue to incur significant transaction costs in connection with the Link-16 TDL Sale whether or not the sale is completed;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0" w:name="page61"/>
    <w:bookmarkEnd w:id="60"/>
    <w:p>
      <w:pPr>
        <w:ind w:left="503" w:right="60" w:hanging="503"/>
        <w:spacing w:after="0" w:line="248" w:lineRule="auto"/>
        <w:tabs>
          <w:tab w:leader="none" w:pos="503"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 the Asset Purchase Agreement for the Link-16 TDL Sale, we are subject to certain restrictions on the conduct of the Link-16 TDL Business prior to the completion of the sale, which restrictions could adversely affect our ability to realize certain business strategies or take advantage of certain business opportunities;</w:t>
      </w:r>
    </w:p>
    <w:p>
      <w:pPr>
        <w:spacing w:after="0" w:line="87" w:lineRule="exact"/>
        <w:rPr>
          <w:rFonts w:ascii="Arial" w:cs="Arial" w:eastAsia="Arial" w:hAnsi="Arial"/>
          <w:sz w:val="18"/>
          <w:szCs w:val="18"/>
          <w:color w:val="auto"/>
        </w:rPr>
      </w:pPr>
    </w:p>
    <w:p>
      <w:pPr>
        <w:ind w:left="503" w:hanging="503"/>
        <w:spacing w:after="0"/>
        <w:tabs>
          <w:tab w:leader="none" w:pos="50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negative perception of investors, suppliers, customers or employees if the sale is not consummated;</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of indebtedness we incur (and resulting net leverage ratio) may be higher if the sale is not consummated; and</w:t>
      </w:r>
    </w:p>
    <w:p>
      <w:pPr>
        <w:spacing w:after="0" w:line="103"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attention of our management may be directed toward the completion of the pending sale and related matters, and their focus may be diverted from our day-to-day business operations.</w:t>
      </w:r>
    </w:p>
    <w:p>
      <w:pPr>
        <w:spacing w:after="0" w:line="62" w:lineRule="exact"/>
        <w:rPr>
          <w:sz w:val="20"/>
          <w:szCs w:val="20"/>
          <w:color w:val="auto"/>
        </w:rPr>
      </w:pPr>
    </w:p>
    <w:p>
      <w:pPr>
        <w:ind w:left="3"/>
        <w:spacing w:after="0"/>
        <w:rPr>
          <w:sz w:val="20"/>
          <w:szCs w:val="20"/>
          <w:color w:val="auto"/>
        </w:rPr>
      </w:pPr>
      <w:r>
        <w:rPr>
          <w:rFonts w:ascii="Arial" w:cs="Arial" w:eastAsia="Arial" w:hAnsi="Arial"/>
          <w:sz w:val="18"/>
          <w:szCs w:val="18"/>
          <w:color w:val="auto"/>
        </w:rPr>
        <w:t>Any of these risks could have a material adverse effect on our business, financial condition and results of operations.</w:t>
      </w:r>
    </w:p>
    <w:p>
      <w:pPr>
        <w:spacing w:after="0" w:line="212"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53340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49" w:right="35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t>Item 6. Exhibits</w:t>
      </w:r>
    </w:p>
    <w:p>
      <w:pPr>
        <w:sectPr>
          <w:pgSz w:w="11900" w:h="16838" w:orient="portrait"/>
          <w:cols w:equalWidth="0" w:num="1">
            <w:col w:w="11140"/>
          </w:cols>
          <w:pgMar w:left="320" w:top="319" w:right="439" w:bottom="1440" w:gutter="0" w:footer="0" w:header="0"/>
        </w:sect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Incorporated by Reference</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gridSpan w:val="13"/>
            <w:vMerge w:val="restart"/>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24"/>
                <w:szCs w:val="2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24"/>
                <w:szCs w:val="2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24"/>
                <w:szCs w:val="24"/>
                <w:color w:val="auto"/>
              </w:rPr>
            </w:pPr>
          </w:p>
        </w:tc>
        <w:tc>
          <w:tcPr>
            <w:tcW w:w="8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24"/>
                <w:szCs w:val="2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9"/>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13"/>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108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7"/>
          </w:tcPr>
          <w:p>
            <w:pPr>
              <w:spacing w:after="0"/>
              <w:rPr>
                <w:rFonts w:ascii="Arial" w:cs="Arial" w:eastAsia="Arial" w:hAnsi="Arial"/>
                <w:sz w:val="18"/>
                <w:szCs w:val="18"/>
                <w:color w:val="0000FF"/>
              </w:rPr>
            </w:pPr>
            <w:hyperlink r:id="rId279">
              <w:r>
                <w:rPr>
                  <w:rFonts w:ascii="Arial" w:cs="Arial" w:eastAsia="Arial" w:hAnsi="Arial"/>
                  <w:sz w:val="18"/>
                  <w:szCs w:val="18"/>
                  <w:color w:val="0000FF"/>
                </w:rPr>
                <w:t>Asset Purchase Agreement, dated as of October 1,</w:t>
              </w:r>
            </w:hyperlink>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000-21767</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10/03/2022</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2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279">
              <w:r>
                <w:rPr>
                  <w:rFonts w:ascii="Arial" w:cs="Arial" w:eastAsia="Arial" w:hAnsi="Arial"/>
                  <w:sz w:val="18"/>
                  <w:szCs w:val="18"/>
                  <w:color w:val="0000FF"/>
                </w:rPr>
                <w:t>2022, by and between Viasat, Inc. and L3Harris</w:t>
              </w:r>
            </w:hyperlink>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8"/>
              </w:rPr>
            </w:pPr>
            <w:hyperlink r:id="rId279">
              <w:r>
                <w:rPr>
                  <w:rFonts w:ascii="Arial" w:cs="Arial" w:eastAsia="Arial" w:hAnsi="Arial"/>
                  <w:sz w:val="18"/>
                  <w:szCs w:val="18"/>
                  <w:color w:val="0000FF"/>
                  <w:w w:val="98"/>
                </w:rPr>
                <w:t>Technologies, Inc.</w:t>
              </w:r>
            </w:hyperlink>
          </w:p>
        </w:tc>
        <w:tc>
          <w:tcPr>
            <w:tcW w:w="2380" w:type="dxa"/>
            <w:vAlign w:val="bottom"/>
            <w:tcBorders>
              <w:top w:val="single" w:sz="8" w:color="0000FF"/>
            </w:tcBorders>
            <w:gridSpan w:val="4"/>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7"/>
          </w:tcPr>
          <w:p>
            <w:pPr>
              <w:spacing w:after="0"/>
              <w:rPr>
                <w:rFonts w:ascii="Arial" w:cs="Arial" w:eastAsia="Arial" w:hAnsi="Arial"/>
                <w:sz w:val="18"/>
                <w:szCs w:val="18"/>
                <w:color w:val="0000FF"/>
              </w:rPr>
            </w:pPr>
            <w:hyperlink r:id="rId280">
              <w:r>
                <w:rPr>
                  <w:rFonts w:ascii="Arial" w:cs="Arial" w:eastAsia="Arial" w:hAnsi="Arial"/>
                  <w:sz w:val="18"/>
                  <w:szCs w:val="18"/>
                  <w:color w:val="0000FF"/>
                </w:rPr>
                <w:t>Sixth Amendment to Credit Agreement, dated as of</w:t>
              </w:r>
            </w:hyperlink>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000-21767</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08/09/2022</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20" w:type="dxa"/>
            <w:vAlign w:val="bottom"/>
            <w:tcBorders>
              <w:top w:val="single" w:sz="8" w:color="0000FF"/>
              <w:bottom w:val="single" w:sz="8" w:color="0000FF"/>
            </w:tcBorders>
            <w:gridSpan w:val="13"/>
          </w:tcPr>
          <w:p>
            <w:pPr>
              <w:spacing w:after="0" w:line="169" w:lineRule="exact"/>
              <w:rPr>
                <w:rFonts w:ascii="Arial" w:cs="Arial" w:eastAsia="Arial" w:hAnsi="Arial"/>
                <w:sz w:val="18"/>
                <w:szCs w:val="18"/>
                <w:color w:val="0000FF"/>
                <w:w w:val="97"/>
              </w:rPr>
            </w:pPr>
            <w:hyperlink r:id="rId280">
              <w:r>
                <w:rPr>
                  <w:rFonts w:ascii="Arial" w:cs="Arial" w:eastAsia="Arial" w:hAnsi="Arial"/>
                  <w:sz w:val="18"/>
                  <w:szCs w:val="18"/>
                  <w:color w:val="0000FF"/>
                  <w:w w:val="97"/>
                </w:rPr>
                <w:t>August 3, 2022, among Viasat Technologies Limited,</w:t>
              </w:r>
            </w:hyperlink>
          </w:p>
        </w:tc>
        <w:tc>
          <w:tcPr>
            <w:tcW w:w="1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gridSpan w:val="14"/>
          </w:tcPr>
          <w:p>
            <w:pPr>
              <w:spacing w:after="0" w:line="169" w:lineRule="exact"/>
              <w:rPr>
                <w:rFonts w:ascii="Arial" w:cs="Arial" w:eastAsia="Arial" w:hAnsi="Arial"/>
                <w:sz w:val="18"/>
                <w:szCs w:val="18"/>
                <w:color w:val="0000FF"/>
              </w:rPr>
            </w:pPr>
            <w:hyperlink r:id="rId280">
              <w:r>
                <w:rPr>
                  <w:rFonts w:ascii="Arial" w:cs="Arial" w:eastAsia="Arial" w:hAnsi="Arial"/>
                  <w:sz w:val="18"/>
                  <w:szCs w:val="18"/>
                  <w:color w:val="0000FF"/>
                </w:rPr>
                <w:t>Viasat, Inc., JP Morgan Chase Bank, National</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00" w:type="dxa"/>
            <w:vAlign w:val="bottom"/>
            <w:tcBorders>
              <w:top w:val="single" w:sz="8" w:color="0000FF"/>
            </w:tcBorders>
            <w:gridSpan w:val="5"/>
          </w:tcPr>
          <w:p>
            <w:pPr>
              <w:spacing w:after="0" w:line="169" w:lineRule="exact"/>
              <w:rPr>
                <w:rFonts w:ascii="Arial" w:cs="Arial" w:eastAsia="Arial" w:hAnsi="Arial"/>
                <w:sz w:val="18"/>
                <w:szCs w:val="18"/>
                <w:color w:val="0000FF"/>
                <w:w w:val="98"/>
              </w:rPr>
            </w:pPr>
            <w:hyperlink r:id="rId280">
              <w:r>
                <w:rPr>
                  <w:rFonts w:ascii="Arial" w:cs="Arial" w:eastAsia="Arial" w:hAnsi="Arial"/>
                  <w:sz w:val="18"/>
                  <w:szCs w:val="18"/>
                  <w:color w:val="0000FF"/>
                  <w:w w:val="98"/>
                </w:rPr>
                <w:t>Association, and the Export-Import Bank of the</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10"/>
          </w:tcPr>
          <w:p>
            <w:pPr>
              <w:spacing w:after="0" w:line="169" w:lineRule="exact"/>
              <w:rPr>
                <w:rFonts w:ascii="Arial" w:cs="Arial" w:eastAsia="Arial" w:hAnsi="Arial"/>
                <w:sz w:val="18"/>
                <w:szCs w:val="18"/>
                <w:color w:val="0000FF"/>
              </w:rPr>
            </w:pPr>
            <w:hyperlink r:id="rId280">
              <w:r>
                <w:rPr>
                  <w:rFonts w:ascii="Arial" w:cs="Arial" w:eastAsia="Arial" w:hAnsi="Arial"/>
                  <w:sz w:val="18"/>
                  <w:szCs w:val="18"/>
                  <w:color w:val="0000FF"/>
                </w:rPr>
                <w:t>United</w:t>
              </w:r>
            </w:hyperlink>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7"/>
              </w:rPr>
            </w:pPr>
            <w:hyperlink r:id="rId280">
              <w:r>
                <w:rPr>
                  <w:rFonts w:ascii="Arial" w:cs="Arial" w:eastAsia="Arial" w:hAnsi="Arial"/>
                  <w:sz w:val="18"/>
                  <w:szCs w:val="18"/>
                  <w:color w:val="0000FF"/>
                  <w:w w:val="97"/>
                </w:rPr>
                <w:t>States</w:t>
              </w:r>
            </w:hyperlink>
          </w:p>
        </w:tc>
        <w:tc>
          <w:tcPr>
            <w:tcW w:w="20" w:type="dxa"/>
            <w:vAlign w:val="bottom"/>
            <w:tcBorders>
              <w:top w:val="single" w:sz="8" w:color="0000FF"/>
              <w:bottom w:val="single" w:sz="8" w:color="0000EE"/>
            </w:tcBorders>
          </w:tcPr>
          <w:p>
            <w:pPr>
              <w:spacing w:after="0"/>
              <w:rPr>
                <w:sz w:val="14"/>
                <w:szCs w:val="14"/>
                <w:color w:val="auto"/>
              </w:rPr>
            </w:pPr>
          </w:p>
        </w:tc>
        <w:tc>
          <w:tcPr>
            <w:tcW w:w="378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7"/>
          </w:tcPr>
          <w:p>
            <w:pPr>
              <w:spacing w:after="0"/>
              <w:rPr>
                <w:rFonts w:ascii="Arial" w:cs="Arial" w:eastAsia="Arial" w:hAnsi="Arial"/>
                <w:sz w:val="18"/>
                <w:szCs w:val="18"/>
                <w:color w:val="0000FF"/>
              </w:rPr>
            </w:pPr>
            <w:hyperlink r:id="rId281">
              <w:r>
                <w:rPr>
                  <w:rFonts w:ascii="Arial" w:cs="Arial" w:eastAsia="Arial" w:hAnsi="Arial"/>
                  <w:sz w:val="18"/>
                  <w:szCs w:val="18"/>
                  <w:color w:val="0000FF"/>
                </w:rPr>
                <w:t>1996 Equity Participation Plan of Viasat, Inc. (As</w:t>
              </w:r>
            </w:hyperlink>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000-21767</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09/02/2022</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rPr>
            </w:pPr>
            <w:hyperlink r:id="rId281">
              <w:r>
                <w:rPr>
                  <w:rFonts w:ascii="Arial" w:cs="Arial" w:eastAsia="Arial" w:hAnsi="Arial"/>
                  <w:sz w:val="18"/>
                  <w:szCs w:val="18"/>
                  <w:color w:val="0000FF"/>
                </w:rPr>
                <w:t>Amended and Restated Effective September 1,</w:t>
              </w:r>
            </w:hyperlink>
          </w:p>
        </w:tc>
        <w:tc>
          <w:tcPr>
            <w:tcW w:w="380" w:type="dxa"/>
            <w:vAlign w:val="bottom"/>
            <w:tcBorders>
              <w:bottom w:val="single" w:sz="8" w:color="0000FF"/>
            </w:tcBorders>
            <w:gridSpan w:val="6"/>
          </w:tcPr>
          <w:p>
            <w:pPr>
              <w:jc w:val="right"/>
              <w:spacing w:after="0" w:line="169" w:lineRule="exact"/>
              <w:rPr>
                <w:rFonts w:ascii="Arial" w:cs="Arial" w:eastAsia="Arial" w:hAnsi="Arial"/>
                <w:sz w:val="18"/>
                <w:szCs w:val="18"/>
                <w:color w:val="0000FF"/>
                <w:w w:val="78"/>
              </w:rPr>
            </w:pPr>
            <w:hyperlink r:id="rId281">
              <w:r>
                <w:rPr>
                  <w:rFonts w:ascii="Arial" w:cs="Arial" w:eastAsia="Arial" w:hAnsi="Arial"/>
                  <w:sz w:val="18"/>
                  <w:szCs w:val="18"/>
                  <w:color w:val="0000FF"/>
                  <w:w w:val="78"/>
                </w:rPr>
                <w:t>2022)</w:t>
              </w:r>
            </w:hyperlink>
          </w:p>
        </w:tc>
        <w:tc>
          <w:tcPr>
            <w:tcW w:w="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7"/>
          </w:tcPr>
          <w:p>
            <w:pPr>
              <w:spacing w:after="0"/>
              <w:rPr>
                <w:sz w:val="20"/>
                <w:szCs w:val="20"/>
                <w:color w:val="auto"/>
              </w:rPr>
            </w:pPr>
            <w:r>
              <w:rPr>
                <w:rFonts w:ascii="Arial" w:cs="Arial" w:eastAsia="Arial" w:hAnsi="Arial"/>
                <w:sz w:val="18"/>
                <w:szCs w:val="18"/>
                <w:color w:val="0000FF"/>
              </w:rPr>
              <w:t>Certification of Chief Executive Officer Pursuant to</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60" w:type="dxa"/>
            <w:vAlign w:val="bottom"/>
            <w:tcBorders>
              <w:top w:val="single" w:sz="8" w:color="0000FF"/>
              <w:bottom w:val="single" w:sz="8" w:color="0000FF"/>
            </w:tcBorders>
            <w:gridSpan w:val="6"/>
          </w:tcPr>
          <w:p>
            <w:pPr>
              <w:spacing w:after="0" w:line="169" w:lineRule="exact"/>
              <w:rPr>
                <w:sz w:val="20"/>
                <w:szCs w:val="20"/>
                <w:color w:val="auto"/>
              </w:rPr>
            </w:pPr>
            <w:r>
              <w:rPr>
                <w:rFonts w:ascii="Arial" w:cs="Arial" w:eastAsia="Arial" w:hAnsi="Arial"/>
                <w:sz w:val="18"/>
                <w:szCs w:val="18"/>
                <w:color w:val="0000FF"/>
                <w:w w:val="99"/>
              </w:rPr>
              <w:t>Section 302 of the Sarbanes-Oxley Act of 2002</w:t>
            </w:r>
          </w:p>
        </w:tc>
        <w:tc>
          <w:tcPr>
            <w:tcW w:w="280" w:type="dxa"/>
            <w:vAlign w:val="bottom"/>
            <w:tcBorders>
              <w:top w:val="single" w:sz="8" w:color="0000FF"/>
            </w:tcBorders>
            <w:gridSpan w:val="6"/>
          </w:tcPr>
          <w:p>
            <w:pPr>
              <w:spacing w:after="0"/>
              <w:rPr>
                <w:sz w:val="14"/>
                <w:szCs w:val="14"/>
                <w:color w:val="auto"/>
              </w:rPr>
            </w:pPr>
          </w:p>
        </w:tc>
        <w:tc>
          <w:tcPr>
            <w:tcW w:w="24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96"/>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7"/>
          </w:tcPr>
          <w:p>
            <w:pPr>
              <w:spacing w:after="0"/>
              <w:rPr>
                <w:sz w:val="20"/>
                <w:szCs w:val="20"/>
                <w:color w:val="auto"/>
              </w:rPr>
            </w:pPr>
            <w:r>
              <w:rPr>
                <w:rFonts w:ascii="Arial" w:cs="Arial" w:eastAsia="Arial" w:hAnsi="Arial"/>
                <w:sz w:val="18"/>
                <w:szCs w:val="18"/>
                <w:color w:val="0000FF"/>
              </w:rPr>
              <w:t>Certification of Chief Financial Officer Pursuant to</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60" w:type="dxa"/>
            <w:vAlign w:val="bottom"/>
            <w:tcBorders>
              <w:top w:val="single" w:sz="8" w:color="0000FF"/>
              <w:bottom w:val="single" w:sz="8" w:color="0000FF"/>
            </w:tcBorders>
            <w:gridSpan w:val="6"/>
          </w:tcPr>
          <w:p>
            <w:pPr>
              <w:spacing w:after="0" w:line="169" w:lineRule="exact"/>
              <w:rPr>
                <w:sz w:val="20"/>
                <w:szCs w:val="20"/>
                <w:color w:val="auto"/>
              </w:rPr>
            </w:pPr>
            <w:r>
              <w:rPr>
                <w:rFonts w:ascii="Arial" w:cs="Arial" w:eastAsia="Arial" w:hAnsi="Arial"/>
                <w:sz w:val="18"/>
                <w:szCs w:val="18"/>
                <w:color w:val="0000FF"/>
                <w:w w:val="99"/>
              </w:rPr>
              <w:t>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200" w:type="dxa"/>
            <w:vAlign w:val="bottom"/>
            <w:tcBorders>
              <w:top w:val="single" w:sz="8" w:color="0000FF"/>
            </w:tcBorders>
            <w:gridSpan w:val="3"/>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7"/>
          </w:tcPr>
          <w:p>
            <w:pPr>
              <w:spacing w:after="0"/>
              <w:rPr>
                <w:sz w:val="20"/>
                <w:szCs w:val="20"/>
                <w:color w:val="auto"/>
              </w:rPr>
            </w:pPr>
            <w:r>
              <w:rPr>
                <w:rFonts w:ascii="Arial" w:cs="Arial" w:eastAsia="Arial" w:hAnsi="Arial"/>
                <w:sz w:val="18"/>
                <w:szCs w:val="18"/>
                <w:color w:val="0000FF"/>
              </w:rPr>
              <w:t>Certifications Pursuant to 18 U.S.C. Section 1350, as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Borders>
              <w:top w:val="single" w:sz="8" w:color="0000FF"/>
            </w:tcBorders>
            <w:gridSpan w:val="15"/>
          </w:tcPr>
          <w:p>
            <w:pPr>
              <w:spacing w:after="0" w:line="169" w:lineRule="exact"/>
              <w:rPr>
                <w:sz w:val="20"/>
                <w:szCs w:val="20"/>
                <w:color w:val="auto"/>
              </w:rPr>
            </w:pPr>
            <w:r>
              <w:rPr>
                <w:rFonts w:ascii="Arial" w:cs="Arial" w:eastAsia="Arial" w:hAnsi="Arial"/>
                <w:sz w:val="18"/>
                <w:szCs w:val="18"/>
                <w:color w:val="0000FF"/>
              </w:rPr>
              <w:t>Adopted Pursuant to Section 906 of the Sarbanes-</w:t>
            </w:r>
          </w:p>
        </w:tc>
        <w:tc>
          <w:tcPr>
            <w:tcW w:w="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tcBorders>
              <w:top w:val="single" w:sz="8" w:color="0000FF"/>
            </w:tcBorders>
            <w:gridSpan w:val="11"/>
          </w:tcPr>
          <w:p>
            <w:pPr>
              <w:spacing w:after="0" w:line="169" w:lineRule="exact"/>
              <w:rPr>
                <w:sz w:val="20"/>
                <w:szCs w:val="20"/>
                <w:color w:val="auto"/>
              </w:rPr>
            </w:pPr>
            <w:r>
              <w:rPr>
                <w:rFonts w:ascii="Arial" w:cs="Arial" w:eastAsia="Arial" w:hAnsi="Arial"/>
                <w:sz w:val="18"/>
                <w:szCs w:val="18"/>
                <w:color w:val="0000FF"/>
              </w:rPr>
              <w:t>Oxley Act of 2002</w:t>
            </w:r>
          </w:p>
        </w:tc>
        <w:tc>
          <w:tcPr>
            <w:tcW w:w="320" w:type="dxa"/>
            <w:vAlign w:val="bottom"/>
            <w:gridSpan w:val="6"/>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right w:val="single" w:sz="8" w:color="0000EE"/>
            </w:tcBorders>
            <w:gridSpan w:val="3"/>
            <w:shd w:val="clear" w:color="auto" w:fill="0000FF"/>
          </w:tcPr>
          <w:p>
            <w:pPr>
              <w:spacing w:after="0" w:line="20" w:lineRule="exact"/>
              <w:rPr>
                <w:sz w:val="1"/>
                <w:szCs w:val="1"/>
                <w:color w:val="auto"/>
              </w:rPr>
            </w:pPr>
          </w:p>
        </w:tc>
        <w:tc>
          <w:tcPr>
            <w:tcW w:w="2900" w:type="dxa"/>
            <w:vAlign w:val="bottom"/>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080" w:type="dxa"/>
            <w:vAlign w:val="bottom"/>
          </w:tcPr>
          <w:p>
            <w:pPr>
              <w:jc w:val="cente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7"/>
          </w:tcPr>
          <w:p>
            <w:pPr>
              <w:spacing w:after="0"/>
              <w:rPr>
                <w:sz w:val="20"/>
                <w:szCs w:val="20"/>
                <w:color w:val="auto"/>
              </w:rPr>
            </w:pPr>
            <w:r>
              <w:rPr>
                <w:rFonts w:ascii="Arial" w:cs="Arial" w:eastAsia="Arial" w:hAnsi="Arial"/>
                <w:sz w:val="18"/>
                <w:szCs w:val="18"/>
                <w:color w:val="auto"/>
              </w:rPr>
              <w:t>Inline XBRL Instance Document - the instance</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40" w:type="dxa"/>
            <w:vAlign w:val="bottom"/>
            <w:gridSpan w:val="17"/>
          </w:tcPr>
          <w:p>
            <w:pPr>
              <w:spacing w:after="0" w:line="189" w:lineRule="exact"/>
              <w:rPr>
                <w:sz w:val="20"/>
                <w:szCs w:val="20"/>
                <w:color w:val="auto"/>
              </w:rPr>
            </w:pPr>
            <w:r>
              <w:rPr>
                <w:rFonts w:ascii="Arial" w:cs="Arial" w:eastAsia="Arial" w:hAnsi="Arial"/>
                <w:sz w:val="18"/>
                <w:szCs w:val="18"/>
                <w:color w:val="auto"/>
              </w:rPr>
              <w:t>document does not appear in the Interactive Data File</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40" w:type="dxa"/>
            <w:vAlign w:val="bottom"/>
            <w:gridSpan w:val="17"/>
          </w:tcPr>
          <w:p>
            <w:pPr>
              <w:spacing w:after="0" w:line="189" w:lineRule="exact"/>
              <w:rPr>
                <w:sz w:val="20"/>
                <w:szCs w:val="20"/>
                <w:color w:val="auto"/>
              </w:rPr>
            </w:pPr>
            <w:r>
              <w:rPr>
                <w:rFonts w:ascii="Arial" w:cs="Arial" w:eastAsia="Arial" w:hAnsi="Arial"/>
                <w:sz w:val="18"/>
                <w:szCs w:val="18"/>
                <w:color w:val="auto"/>
              </w:rPr>
              <w:t>because its XBRL tags are embedded within the inline</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gridSpan w:val="17"/>
          </w:tcPr>
          <w:p>
            <w:pPr>
              <w:spacing w:after="0"/>
              <w:rPr>
                <w:sz w:val="20"/>
                <w:szCs w:val="20"/>
                <w:color w:val="auto"/>
              </w:rPr>
            </w:pPr>
            <w:r>
              <w:rPr>
                <w:rFonts w:ascii="Arial" w:cs="Arial" w:eastAsia="Arial" w:hAnsi="Arial"/>
                <w:sz w:val="18"/>
                <w:szCs w:val="18"/>
                <w:color w:val="auto"/>
              </w:rPr>
              <w:t>XBRL document.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1080" w:type="dxa"/>
            <w:vAlign w:val="bottom"/>
          </w:tcPr>
          <w:p>
            <w:pPr>
              <w:jc w:val="cente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gridSpan w:val="17"/>
          </w:tcPr>
          <w:p>
            <w:pPr>
              <w:spacing w:after="0"/>
              <w:rPr>
                <w:sz w:val="20"/>
                <w:szCs w:val="20"/>
                <w:color w:val="auto"/>
              </w:rPr>
            </w:pPr>
            <w:r>
              <w:rPr>
                <w:rFonts w:ascii="Arial" w:cs="Arial" w:eastAsia="Arial" w:hAnsi="Arial"/>
                <w:sz w:val="18"/>
                <w:szCs w:val="18"/>
                <w:color w:val="auto"/>
              </w:rPr>
              <w:t>Linkbase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1080" w:type="dxa"/>
            <w:vAlign w:val="bottom"/>
          </w:tcPr>
          <w:p>
            <w:pPr>
              <w:jc w:val="center"/>
              <w:spacing w:after="0"/>
              <w:rPr>
                <w:sz w:val="20"/>
                <w:szCs w:val="20"/>
                <w:color w:val="auto"/>
              </w:rPr>
            </w:pPr>
            <w:r>
              <w:rPr>
                <w:rFonts w:ascii="Arial" w:cs="Arial" w:eastAsia="Arial" w:hAnsi="Arial"/>
                <w:sz w:val="18"/>
                <w:szCs w:val="18"/>
                <w:color w:val="auto"/>
                <w:w w:val="98"/>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80" w:type="dxa"/>
            <w:vAlign w:val="bottom"/>
          </w:tcPr>
          <w:p>
            <w:pPr>
              <w:jc w:val="cente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Labels Linkbase</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gridSpan w:val="17"/>
          </w:tcPr>
          <w:p>
            <w:pPr>
              <w:spacing w:after="0"/>
              <w:rPr>
                <w:sz w:val="20"/>
                <w:szCs w:val="20"/>
                <w:color w:val="auto"/>
              </w:rPr>
            </w:pPr>
            <w:r>
              <w:rPr>
                <w:rFonts w:ascii="Arial" w:cs="Arial" w:eastAsia="Arial" w:hAnsi="Arial"/>
                <w:sz w:val="18"/>
                <w:szCs w:val="18"/>
                <w:color w:val="auto"/>
              </w:rPr>
              <w:t>Linkbase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220" w:right="4740" w:hanging="822"/>
        <w:spacing w:after="0" w:line="235"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jc w:val="center"/>
        <w:ind w:right="40"/>
        <w:spacing w:after="0" w:line="243" w:lineRule="auto"/>
        <w:rPr>
          <w:sz w:val="20"/>
          <w:szCs w:val="20"/>
          <w:color w:val="auto"/>
        </w:rPr>
      </w:pPr>
      <w:r>
        <w:rPr>
          <w:rFonts w:ascii="Arial" w:cs="Arial" w:eastAsia="Arial" w:hAnsi="Arial"/>
          <w:sz w:val="14"/>
          <w:szCs w:val="14"/>
          <w:b w:val="1"/>
          <w:bCs w:val="1"/>
          <w:color w:val="auto"/>
        </w:rPr>
        <w:t>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6350</wp:posOffset>
            </wp:positionV>
            <wp:extent cx="62611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32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32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32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32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389" w:lineRule="exact"/>
        <w:rPr>
          <w:sz w:val="20"/>
          <w:szCs w:val="20"/>
          <w:color w:val="auto"/>
        </w:rPr>
      </w:pPr>
    </w:p>
    <w:p>
      <w:pPr>
        <w:sectPr>
          <w:pgSz w:w="11900" w:h="16838" w:orient="portrait"/>
          <w:cols w:equalWidth="0" w:num="2">
            <w:col w:w="10140" w:space="260"/>
            <w:col w:w="740"/>
          </w:cols>
          <w:pgMar w:left="320" w:top="319" w:right="439" w:bottom="1440" w:gutter="0" w:footer="0" w:header="0"/>
          <w:type w:val="continuous"/>
        </w:sectPr>
      </w:pPr>
    </w:p>
    <w:p>
      <w:pPr>
        <w:ind w:right="180" w:firstLine="8"/>
        <w:spacing w:after="0" w:line="253" w:lineRule="auto"/>
        <w:tabs>
          <w:tab w:leader="none" w:pos="108" w:val="left"/>
        </w:tabs>
        <w:numPr>
          <w:ilvl w:val="0"/>
          <w:numId w:val="15"/>
        </w:numPr>
        <w:rPr>
          <w:rFonts w:ascii="Arial" w:cs="Arial" w:eastAsia="Arial" w:hAnsi="Arial"/>
          <w:sz w:val="16"/>
          <w:szCs w:val="16"/>
          <w:color w:val="auto"/>
        </w:rPr>
      </w:pPr>
      <w:r>
        <w:rPr>
          <w:rFonts w:ascii="Arial" w:cs="Arial" w:eastAsia="Arial" w:hAnsi="Arial"/>
          <w:sz w:val="16"/>
          <w:szCs w:val="16"/>
          <w:color w:val="auto"/>
        </w:rPr>
        <w:t>Certain schedules to this Exhibit have been omitted pursuant to Regulation S-K Item 601(b)(2) or 601(a)(5) (as applicable). Viasat agrees to furnish a supplemental copy of any omitted schedule to the SEC upon request; provided, however, that Viasat may request confidential treatment pursuant to Rule 24b-2 of the Securities Exchange Act of 1934 for any document so furnished.</w:t>
      </w:r>
    </w:p>
    <w:p>
      <w:pPr>
        <w:spacing w:after="0" w:line="53"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Indicates management contract, compensatory plan or arrangement.</w:t>
      </w:r>
    </w:p>
    <w:p>
      <w:pPr>
        <w:spacing w:after="0" w:line="86" w:lineRule="exact"/>
        <w:rPr>
          <w:rFonts w:ascii="Arial" w:cs="Arial" w:eastAsia="Arial" w:hAnsi="Arial"/>
          <w:sz w:val="16"/>
          <w:szCs w:val="16"/>
          <w:color w:val="auto"/>
        </w:rPr>
      </w:pPr>
    </w:p>
    <w:p>
      <w:pPr>
        <w:ind w:firstLine="8"/>
        <w:spacing w:after="0" w:line="251" w:lineRule="auto"/>
        <w:tabs>
          <w:tab w:leader="none" w:pos="23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certifications attached as Exhibit 32.1 that accompany this Quarterly Report on Form 10-Q are deemed furnished and not filed with the SEC and are not to be incorporated by reference into any filing of Viasat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19" w:right="439" w:bottom="1440" w:gutter="0" w:footer="0" w:header="0"/>
          <w:type w:val="continuous"/>
        </w:sectPr>
      </w:pPr>
    </w:p>
    <w:bookmarkStart w:id="62" w:name="page63"/>
    <w:bookmarkEnd w:id="62"/>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VIASAT, INC.</w:t>
      </w:r>
    </w:p>
    <w:p>
      <w:pPr>
        <w:spacing w:after="0" w:line="212"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November 9, 2022</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6350</wp:posOffset>
            </wp:positionV>
            <wp:extent cx="34886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Mark Dankberg</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Executive Officer)</w:t>
      </w:r>
    </w:p>
    <w:p>
      <w:pPr>
        <w:spacing w:after="0" w:line="21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6350</wp:posOffset>
            </wp:positionV>
            <wp:extent cx="34886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Shawn Duffy</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319" w:right="739" w:bottom="1440" w:gutter="0" w:footer="0" w:header="0"/>
        </w:sectPr>
      </w:pPr>
    </w:p>
    <w:bookmarkStart w:id="63" w:name="page64"/>
    <w:bookmarkEnd w:id="63"/>
    <w:p>
      <w:pPr>
        <w:ind w:left="10200"/>
        <w:spacing w:after="0"/>
        <w:rPr>
          <w:sz w:val="20"/>
          <w:szCs w:val="20"/>
          <w:color w:val="auto"/>
        </w:rPr>
      </w:pPr>
      <w:r>
        <w:rPr>
          <w:rFonts w:ascii="Arial" w:cs="Arial" w:eastAsia="Arial" w:hAnsi="Arial"/>
          <w:sz w:val="18"/>
          <w:szCs w:val="18"/>
          <w:b w:val="1"/>
          <w:bCs w:val="1"/>
          <w:color w:val="auto"/>
        </w:rPr>
        <w:t>Exhibit 31.1</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CERTIFICATION OF CHIEF EXECUTIVE OFFICER PURSUANT</w:t>
      </w:r>
    </w:p>
    <w:p>
      <w:pPr>
        <w:jc w:val="center"/>
        <w:ind w:right="20"/>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17"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line="248"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520" w:right="24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8"/>
          <w:szCs w:val="18"/>
          <w:color w:val="auto"/>
        </w:rPr>
      </w:pPr>
    </w:p>
    <w:p>
      <w:pPr>
        <w:ind w:left="520" w:right="4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8"/>
          <w:szCs w:val="18"/>
          <w:color w:val="auto"/>
        </w:rPr>
      </w:pPr>
    </w:p>
    <w:p>
      <w:pPr>
        <w:ind w:left="1020" w:right="260" w:hanging="503"/>
        <w:spacing w:after="0"/>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020" w:right="260" w:hanging="503"/>
        <w:spacing w:after="0"/>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jc w:val="both"/>
        <w:ind w:left="1020" w:right="180" w:hanging="503"/>
        <w:spacing w:after="0"/>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1020" w:hanging="503"/>
        <w:spacing w:after="0"/>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240" w:hanging="512"/>
        <w:spacing w:after="0" w:line="248"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8"/>
          <w:szCs w:val="18"/>
          <w:color w:val="auto"/>
        </w:rPr>
      </w:pPr>
    </w:p>
    <w:p>
      <w:pPr>
        <w:ind w:left="1020" w:right="180" w:hanging="503"/>
        <w:spacing w:after="0" w:line="248"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8"/>
          <w:szCs w:val="18"/>
          <w:color w:val="auto"/>
        </w:rPr>
      </w:pPr>
    </w:p>
    <w:p>
      <w:pPr>
        <w:ind w:left="1020" w:right="100" w:hanging="503"/>
        <w:spacing w:after="0" w:line="261"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2"/>
          <w:szCs w:val="12"/>
          <w:color w:val="auto"/>
        </w:rPr>
        <w:t>ankber</w:t>
      </w:r>
      <w:r>
        <w:rPr>
          <w:rFonts w:ascii="Arial" w:cs="Arial" w:eastAsia="Arial" w:hAnsi="Arial"/>
          <w:sz w:val="14"/>
          <w:szCs w:val="14"/>
          <w:color w:val="auto"/>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Dankberg</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64" w:name="page65"/>
    <w:bookmarkEnd w:id="64"/>
    <w:p>
      <w:pPr>
        <w:ind w:left="10200"/>
        <w:spacing w:after="0"/>
        <w:rPr>
          <w:sz w:val="20"/>
          <w:szCs w:val="20"/>
          <w:color w:val="auto"/>
        </w:rPr>
      </w:pPr>
      <w:r>
        <w:rPr>
          <w:rFonts w:ascii="Arial" w:cs="Arial" w:eastAsia="Arial" w:hAnsi="Arial"/>
          <w:sz w:val="18"/>
          <w:szCs w:val="18"/>
          <w:b w:val="1"/>
          <w:bCs w:val="1"/>
          <w:color w:val="auto"/>
        </w:rPr>
        <w:t>Exhibit 31.2</w:t>
      </w:r>
    </w:p>
    <w:p>
      <w:pPr>
        <w:spacing w:after="0" w:line="2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CERTIFICATION OF CHIEF FINANCIAL OFFICER PURSUANT</w:t>
      </w:r>
    </w:p>
    <w:p>
      <w:pPr>
        <w:ind w:left="3100"/>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17"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line="248"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520" w:right="24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8"/>
          <w:szCs w:val="18"/>
          <w:color w:val="auto"/>
        </w:rPr>
      </w:pPr>
    </w:p>
    <w:p>
      <w:pPr>
        <w:ind w:left="520" w:right="4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8"/>
          <w:szCs w:val="18"/>
          <w:color w:val="auto"/>
        </w:rPr>
      </w:pPr>
    </w:p>
    <w:p>
      <w:pPr>
        <w:ind w:left="1020" w:right="260" w:hanging="503"/>
        <w:spacing w:after="0"/>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020" w:right="260" w:hanging="503"/>
        <w:spacing w:after="0"/>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jc w:val="both"/>
        <w:ind w:left="1020" w:right="180" w:hanging="503"/>
        <w:spacing w:after="0"/>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1020" w:hanging="503"/>
        <w:spacing w:after="0"/>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240" w:hanging="512"/>
        <w:spacing w:after="0" w:line="248"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8"/>
          <w:szCs w:val="18"/>
          <w:color w:val="auto"/>
        </w:rPr>
      </w:pPr>
    </w:p>
    <w:p>
      <w:pPr>
        <w:ind w:left="1020" w:right="180" w:hanging="503"/>
        <w:spacing w:after="0" w:line="248"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8"/>
          <w:szCs w:val="18"/>
          <w:color w:val="auto"/>
        </w:rPr>
      </w:pPr>
    </w:p>
    <w:p>
      <w:pPr>
        <w:ind w:left="1020" w:right="100" w:hanging="503"/>
        <w:spacing w:after="0" w:line="261"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Shawn Duffy</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65" w:name="page66"/>
    <w:bookmarkEnd w:id="65"/>
    <w:p>
      <w:pPr>
        <w:ind w:left="10200"/>
        <w:spacing w:after="0"/>
        <w:rPr>
          <w:sz w:val="20"/>
          <w:szCs w:val="20"/>
          <w:color w:val="auto"/>
        </w:rPr>
      </w:pPr>
      <w:r>
        <w:rPr>
          <w:rFonts w:ascii="Arial" w:cs="Arial" w:eastAsia="Arial" w:hAnsi="Arial"/>
          <w:sz w:val="18"/>
          <w:szCs w:val="18"/>
          <w:b w:val="1"/>
          <w:bCs w:val="1"/>
          <w:color w:val="auto"/>
        </w:rPr>
        <w:t>Exhibit 32.1</w:t>
      </w: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OF CHIEF EXECUTIVE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17" w:lineRule="exact"/>
        <w:rPr>
          <w:sz w:val="20"/>
          <w:szCs w:val="20"/>
          <w:color w:val="auto"/>
        </w:rPr>
      </w:pPr>
    </w:p>
    <w:p>
      <w:pPr>
        <w:ind w:left="1020" w:right="4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2022 (the “Report”) fully complies with the requirements of Section 13(a) or Section 15(d), as applicable, of the Securities Exchange Act of 1934, as amended; and</w:t>
      </w:r>
    </w:p>
    <w:p>
      <w:pPr>
        <w:spacing w:after="0" w:line="10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Dankberg</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20" w:right="40" w:hanging="503"/>
        <w:spacing w:after="0" w:line="248"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2022 (the “Report”) fully complies with the requirements of Section 13(a) or Section 15(d), as applicable, of the Securities Exchange Act of 1934, as amended; and</w:t>
      </w:r>
    </w:p>
    <w:p>
      <w:pPr>
        <w:spacing w:after="0" w:line="87"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Shawn Duffy</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2"/>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04"/>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79" Type="http://schemas.openxmlformats.org/officeDocument/2006/relationships/hyperlink" Target="https://www.sec.gov/Archives/edgar/data/797721/000119312522256649/d256660d8k.htm" TargetMode="External"/><Relationship Id="rId280" Type="http://schemas.openxmlformats.org/officeDocument/2006/relationships/hyperlink" Target="https://www.sec.gov/ix?doc=/Archives/edgar/data/797721/000095017022015832/vsat-20220630.htm" TargetMode="External"/><Relationship Id="rId281" Type="http://schemas.openxmlformats.org/officeDocument/2006/relationships/hyperlink" Target="https://www.sec.gov/Archives/edgar/data/797721/000119312522237928/d330900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2022-11-10T03:34:53Z</dcterms:created>
  <dcterms:modified xsi:type="dcterms:W3CDTF">2022-11-10T03:34:53Z</dcterms:modified>
</cp:coreProperties>
</file>